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AD4D79" w14:textId="77777777" w:rsidR="00FA7323" w:rsidRPr="00ED2A56" w:rsidRDefault="00FA7323" w:rsidP="00ED2A56">
      <w:pPr>
        <w:jc w:val="center"/>
        <w:rPr>
          <w:rFonts w:ascii="Palatino" w:eastAsia="Calibri" w:hAnsi="Palatino"/>
          <w:sz w:val="82"/>
          <w:szCs w:val="32"/>
          <w:lang w:val="en-CA" w:eastAsia="en-US"/>
        </w:rPr>
      </w:pPr>
    </w:p>
    <w:p w14:paraId="54845059" w14:textId="75208652" w:rsidR="00FA7323" w:rsidRPr="00ED2A56" w:rsidRDefault="00FA7323" w:rsidP="00ED2A56">
      <w:pPr>
        <w:rPr>
          <w:rFonts w:ascii="Palatino" w:eastAsia="Calibri" w:hAnsi="Palatino"/>
          <w:sz w:val="82"/>
          <w:szCs w:val="32"/>
          <w:lang w:val="en-CA" w:eastAsia="en-US"/>
        </w:rPr>
      </w:pPr>
    </w:p>
    <w:p w14:paraId="730B5AFE" w14:textId="77777777" w:rsidR="00FA7323" w:rsidRPr="00ED2A56" w:rsidRDefault="00FA7323" w:rsidP="00ED2A56">
      <w:pPr>
        <w:jc w:val="center"/>
        <w:rPr>
          <w:rFonts w:ascii="Palatino" w:eastAsia="Calibri" w:hAnsi="Palatino"/>
          <w:sz w:val="82"/>
          <w:szCs w:val="32"/>
          <w:lang w:val="en-CA" w:eastAsia="en-US"/>
        </w:rPr>
      </w:pPr>
    </w:p>
    <w:p w14:paraId="5005B0F6" w14:textId="77777777" w:rsidR="00A364E5" w:rsidRPr="00ED2A56" w:rsidRDefault="00A364E5" w:rsidP="0091125C">
      <w:pPr>
        <w:jc w:val="center"/>
        <w:rPr>
          <w:rFonts w:ascii="Palatino" w:eastAsia="Calibri" w:hAnsi="Palatino"/>
          <w:sz w:val="82"/>
          <w:szCs w:val="32"/>
          <w:lang w:val="en-CA" w:eastAsia="en-US"/>
        </w:rPr>
      </w:pPr>
      <w:r w:rsidRPr="00ED2A56">
        <w:rPr>
          <w:rFonts w:ascii="Palatino" w:eastAsia="Calibri" w:hAnsi="Palatino"/>
          <w:sz w:val="82"/>
          <w:szCs w:val="32"/>
          <w:lang w:val="en-CA" w:eastAsia="en-US"/>
        </w:rPr>
        <w:t>HEIDI</w:t>
      </w:r>
    </w:p>
    <w:p w14:paraId="0562A94F" w14:textId="7CD14303" w:rsidR="00A364E5" w:rsidRDefault="00A364E5" w:rsidP="0091125C">
      <w:pPr>
        <w:jc w:val="center"/>
        <w:rPr>
          <w:rFonts w:ascii="Palatino Linotype" w:hAnsi="Palatino Linotype"/>
          <w:sz w:val="56"/>
          <w:szCs w:val="46"/>
          <w:lang w:val="en-CA"/>
        </w:rPr>
      </w:pPr>
      <w:r w:rsidRPr="00ED2A56">
        <w:rPr>
          <w:rFonts w:ascii="Palatino Linotype" w:hAnsi="Palatino Linotype"/>
          <w:sz w:val="56"/>
          <w:szCs w:val="46"/>
          <w:lang w:val="en-CA"/>
        </w:rPr>
        <w:t>Health and Environment Interplay Database</w:t>
      </w:r>
    </w:p>
    <w:p w14:paraId="0304C906" w14:textId="079C5E68" w:rsidR="00F7115A" w:rsidRDefault="00F7115A" w:rsidP="0091125C">
      <w:pPr>
        <w:jc w:val="center"/>
        <w:rPr>
          <w:rFonts w:ascii="Palatino Linotype" w:hAnsi="Palatino Linotype"/>
          <w:sz w:val="56"/>
          <w:szCs w:val="46"/>
          <w:lang w:val="en-CA"/>
        </w:rPr>
      </w:pPr>
    </w:p>
    <w:p w14:paraId="14DE6E5C" w14:textId="15C40866" w:rsidR="00F7115A" w:rsidRDefault="00F7115A" w:rsidP="0091125C">
      <w:pPr>
        <w:jc w:val="center"/>
        <w:rPr>
          <w:rFonts w:ascii="Palatino Linotype" w:hAnsi="Palatino Linotype"/>
          <w:sz w:val="56"/>
          <w:szCs w:val="46"/>
          <w:lang w:val="en-CA"/>
        </w:rPr>
      </w:pPr>
    </w:p>
    <w:p w14:paraId="1C82E85B" w14:textId="4BF6A577" w:rsidR="00F7115A" w:rsidRPr="00F7115A" w:rsidRDefault="00F7115A" w:rsidP="0091125C">
      <w:pPr>
        <w:jc w:val="center"/>
        <w:rPr>
          <w:rFonts w:ascii="Palatino Linotype" w:hAnsi="Palatino Linotype"/>
          <w:sz w:val="48"/>
          <w:szCs w:val="46"/>
          <w:lang w:val="en-CA"/>
        </w:rPr>
      </w:pPr>
      <w:bookmarkStart w:id="0" w:name="_GoBack"/>
      <w:r w:rsidRPr="00F7115A">
        <w:rPr>
          <w:rFonts w:ascii="Palatino Linotype" w:hAnsi="Palatino Linotype"/>
          <w:sz w:val="48"/>
          <w:szCs w:val="46"/>
          <w:lang w:val="en-CA"/>
        </w:rPr>
        <w:t>Jean-Frédéric Morin</w:t>
      </w:r>
    </w:p>
    <w:p w14:paraId="5036B37A" w14:textId="54142BF5" w:rsidR="00F7115A" w:rsidRPr="00F7115A" w:rsidRDefault="00F7115A" w:rsidP="0091125C">
      <w:pPr>
        <w:jc w:val="center"/>
        <w:rPr>
          <w:rFonts w:ascii="Palatino Linotype" w:hAnsi="Palatino Linotype"/>
          <w:sz w:val="48"/>
          <w:szCs w:val="46"/>
          <w:lang w:val="en-CA"/>
        </w:rPr>
      </w:pPr>
      <w:proofErr w:type="spellStart"/>
      <w:r w:rsidRPr="00F7115A">
        <w:rPr>
          <w:rFonts w:ascii="Palatino Linotype" w:hAnsi="Palatino Linotype"/>
          <w:sz w:val="48"/>
          <w:szCs w:val="46"/>
          <w:lang w:val="en-CA"/>
        </w:rPr>
        <w:t>Université</w:t>
      </w:r>
      <w:proofErr w:type="spellEnd"/>
      <w:r w:rsidRPr="00F7115A">
        <w:rPr>
          <w:rFonts w:ascii="Palatino Linotype" w:hAnsi="Palatino Linotype"/>
          <w:sz w:val="48"/>
          <w:szCs w:val="46"/>
          <w:lang w:val="en-CA"/>
        </w:rPr>
        <w:t xml:space="preserve"> Laval</w:t>
      </w:r>
    </w:p>
    <w:bookmarkEnd w:id="0"/>
    <w:p w14:paraId="3505EA4E" w14:textId="77777777" w:rsidR="00A364E5" w:rsidRPr="003C2BC9" w:rsidRDefault="00A364E5" w:rsidP="0091125C">
      <w:pPr>
        <w:jc w:val="center"/>
        <w:rPr>
          <w:rFonts w:ascii="Palatino Linotype" w:hAnsi="Palatino Linotype"/>
          <w:lang w:val="en-CA"/>
        </w:rPr>
      </w:pPr>
    </w:p>
    <w:p w14:paraId="2CC3AD50" w14:textId="77777777" w:rsidR="00A364E5" w:rsidRPr="003C2BC9" w:rsidRDefault="00A364E5" w:rsidP="0091125C">
      <w:pPr>
        <w:jc w:val="center"/>
        <w:rPr>
          <w:rFonts w:ascii="Palatino Linotype" w:hAnsi="Palatino Linotype"/>
          <w:lang w:val="en-CA"/>
        </w:rPr>
      </w:pPr>
    </w:p>
    <w:p w14:paraId="69DCB24C" w14:textId="77777777" w:rsidR="00A364E5" w:rsidRPr="003C2BC9" w:rsidRDefault="00A364E5" w:rsidP="0091125C">
      <w:pPr>
        <w:jc w:val="center"/>
        <w:rPr>
          <w:rFonts w:ascii="Palatino Linotype" w:hAnsi="Palatino Linotype"/>
          <w:lang w:val="en-CA"/>
        </w:rPr>
      </w:pPr>
    </w:p>
    <w:p w14:paraId="52B0FE73" w14:textId="77777777" w:rsidR="00A364E5" w:rsidRPr="003C2BC9" w:rsidRDefault="00A364E5" w:rsidP="0091125C">
      <w:pPr>
        <w:jc w:val="center"/>
        <w:rPr>
          <w:rFonts w:ascii="Palatino Linotype" w:hAnsi="Palatino Linotype"/>
          <w:lang w:val="en-CA"/>
        </w:rPr>
      </w:pPr>
    </w:p>
    <w:p w14:paraId="6B1E70BE" w14:textId="77777777" w:rsidR="00A364E5" w:rsidRPr="003C2BC9" w:rsidRDefault="00A364E5" w:rsidP="0091125C">
      <w:pPr>
        <w:jc w:val="center"/>
        <w:rPr>
          <w:rFonts w:ascii="Palatino Linotype" w:hAnsi="Palatino Linotype"/>
          <w:lang w:val="en-CA"/>
        </w:rPr>
      </w:pPr>
    </w:p>
    <w:p w14:paraId="5930960E" w14:textId="36521504" w:rsidR="00492362" w:rsidRDefault="00492362">
      <w:pPr>
        <w:rPr>
          <w:rFonts w:ascii="Palatino" w:eastAsia="Calibri" w:hAnsi="Palatino"/>
          <w:sz w:val="46"/>
          <w:szCs w:val="32"/>
          <w:lang w:val="en-CA"/>
        </w:rPr>
      </w:pPr>
      <w:r>
        <w:rPr>
          <w:rFonts w:ascii="Palatino" w:eastAsia="Calibri" w:hAnsi="Palatino"/>
          <w:sz w:val="46"/>
          <w:szCs w:val="32"/>
          <w:lang w:val="en-CA"/>
        </w:rPr>
        <w:br w:type="page"/>
      </w:r>
    </w:p>
    <w:p w14:paraId="05FD078F" w14:textId="77777777" w:rsidR="00ED2A56" w:rsidRPr="003C2BC9" w:rsidRDefault="00ED2A56" w:rsidP="00ED2A56">
      <w:pPr>
        <w:rPr>
          <w:lang w:val="en-CA"/>
        </w:rPr>
      </w:pPr>
    </w:p>
    <w:p w14:paraId="7382E607" w14:textId="78246D57" w:rsidR="008756E5" w:rsidRDefault="008756E5" w:rsidP="00E628E9">
      <w:pPr>
        <w:jc w:val="center"/>
        <w:rPr>
          <w:rFonts w:ascii="Palatino Linotype" w:hAnsi="Palatino Linotype"/>
          <w:b/>
          <w:sz w:val="32"/>
          <w:szCs w:val="32"/>
          <w:lang w:val="en-CA"/>
        </w:rPr>
      </w:pPr>
    </w:p>
    <w:p w14:paraId="2883952C" w14:textId="77777777" w:rsidR="008756E5" w:rsidRDefault="008756E5" w:rsidP="00E628E9">
      <w:pPr>
        <w:jc w:val="center"/>
        <w:rPr>
          <w:b/>
          <w:sz w:val="34"/>
          <w:szCs w:val="34"/>
          <w:lang w:val="en-CA"/>
        </w:rPr>
      </w:pPr>
    </w:p>
    <w:p w14:paraId="461A7505" w14:textId="7A92F9B7" w:rsidR="00E628E9" w:rsidRPr="00B347FD" w:rsidRDefault="00E628E9" w:rsidP="00E628E9">
      <w:pPr>
        <w:jc w:val="center"/>
        <w:rPr>
          <w:sz w:val="34"/>
          <w:szCs w:val="34"/>
          <w:lang w:val="en-CA"/>
        </w:rPr>
      </w:pPr>
      <w:r w:rsidRPr="008003D2">
        <w:rPr>
          <w:b/>
          <w:sz w:val="34"/>
          <w:szCs w:val="34"/>
          <w:lang w:val="en-CA"/>
        </w:rPr>
        <w:t>TABLE OF CONTENTS</w:t>
      </w:r>
    </w:p>
    <w:p w14:paraId="47F5B479" w14:textId="77777777" w:rsidR="00FA7323" w:rsidRPr="00ED2A56" w:rsidRDefault="00FA7323" w:rsidP="0091125C">
      <w:pPr>
        <w:rPr>
          <w:rFonts w:ascii="Palatino Linotype" w:hAnsi="Palatino Linotype"/>
          <w:lang w:val="en-CA"/>
        </w:rPr>
      </w:pPr>
    </w:p>
    <w:sdt>
      <w:sdtPr>
        <w:rPr>
          <w:rFonts w:ascii="Times New Roman" w:eastAsia="Times New Roman" w:hAnsi="Times New Roman" w:cs="Times New Roman"/>
          <w:color w:val="000000"/>
          <w:sz w:val="24"/>
          <w:szCs w:val="24"/>
          <w:lang w:val="fr-FR"/>
        </w:rPr>
        <w:id w:val="1776441583"/>
        <w:docPartObj>
          <w:docPartGallery w:val="Table of Contents"/>
          <w:docPartUnique/>
        </w:docPartObj>
      </w:sdtPr>
      <w:sdtEndPr>
        <w:rPr>
          <w:b/>
          <w:bCs/>
        </w:rPr>
      </w:sdtEndPr>
      <w:sdtContent>
        <w:p w14:paraId="39379CC2" w14:textId="3A807D56" w:rsidR="00502C5B" w:rsidRDefault="00502C5B">
          <w:pPr>
            <w:pStyle w:val="En-ttedetabledesmatires"/>
          </w:pPr>
        </w:p>
        <w:p w14:paraId="4182C1D8" w14:textId="617E65EA" w:rsidR="00502C5B" w:rsidRPr="00502C5B" w:rsidRDefault="00502C5B" w:rsidP="005B5A79">
          <w:pPr>
            <w:pStyle w:val="TM1"/>
            <w:tabs>
              <w:tab w:val="left" w:pos="480"/>
              <w:tab w:val="right" w:pos="8630"/>
            </w:tabs>
            <w:rPr>
              <w:rFonts w:ascii="Palatino Linotype" w:eastAsiaTheme="minorEastAsia" w:hAnsi="Palatino Linotype" w:cstheme="minorBidi"/>
              <w:noProof/>
              <w:color w:val="auto"/>
              <w:sz w:val="22"/>
              <w:szCs w:val="22"/>
            </w:rPr>
          </w:pPr>
          <w:r>
            <w:fldChar w:fldCharType="begin"/>
          </w:r>
          <w:r>
            <w:instrText xml:space="preserve"> TOC \o "1-3" \h \z \u </w:instrText>
          </w:r>
          <w:r>
            <w:fldChar w:fldCharType="separate"/>
          </w:r>
          <w:hyperlink w:anchor="_Toc503952496" w:history="1">
            <w:r w:rsidRPr="00502C5B">
              <w:rPr>
                <w:rStyle w:val="Lienhypertexte"/>
                <w:rFonts w:ascii="Palatino Linotype" w:hAnsi="Palatino Linotype"/>
                <w:noProof/>
              </w:rPr>
              <w:t>1.</w:t>
            </w:r>
            <w:r w:rsidRPr="00502C5B">
              <w:rPr>
                <w:rFonts w:ascii="Palatino Linotype" w:eastAsiaTheme="minorEastAsia" w:hAnsi="Palatino Linotype" w:cstheme="minorBidi"/>
                <w:noProof/>
                <w:color w:val="auto"/>
                <w:sz w:val="22"/>
                <w:szCs w:val="22"/>
              </w:rPr>
              <w:tab/>
            </w:r>
            <w:r w:rsidRPr="00502C5B">
              <w:rPr>
                <w:rStyle w:val="Lienhypertexte"/>
                <w:rFonts w:ascii="Palatino Linotype" w:hAnsi="Palatino Linotype"/>
                <w:noProof/>
              </w:rPr>
              <w:t>Preamble</w:t>
            </w:r>
            <w:r w:rsidRPr="00502C5B">
              <w:rPr>
                <w:rFonts w:ascii="Palatino Linotype" w:hAnsi="Palatino Linotype"/>
                <w:noProof/>
                <w:webHidden/>
              </w:rPr>
              <w:tab/>
            </w:r>
            <w:r w:rsidRPr="00502C5B">
              <w:rPr>
                <w:rFonts w:ascii="Palatino Linotype" w:hAnsi="Palatino Linotype"/>
                <w:noProof/>
                <w:webHidden/>
              </w:rPr>
              <w:fldChar w:fldCharType="begin"/>
            </w:r>
            <w:r w:rsidRPr="00502C5B">
              <w:rPr>
                <w:rFonts w:ascii="Palatino Linotype" w:hAnsi="Palatino Linotype"/>
                <w:noProof/>
                <w:webHidden/>
              </w:rPr>
              <w:instrText xml:space="preserve"> PAGEREF _Toc503952496 \h </w:instrText>
            </w:r>
            <w:r w:rsidRPr="00502C5B">
              <w:rPr>
                <w:rFonts w:ascii="Palatino Linotype" w:hAnsi="Palatino Linotype"/>
                <w:noProof/>
                <w:webHidden/>
              </w:rPr>
            </w:r>
            <w:r w:rsidRPr="00502C5B">
              <w:rPr>
                <w:rFonts w:ascii="Palatino Linotype" w:hAnsi="Palatino Linotype"/>
                <w:noProof/>
                <w:webHidden/>
              </w:rPr>
              <w:fldChar w:fldCharType="separate"/>
            </w:r>
            <w:r w:rsidR="00492362">
              <w:rPr>
                <w:rFonts w:ascii="Palatino Linotype" w:hAnsi="Palatino Linotype"/>
                <w:noProof/>
                <w:webHidden/>
              </w:rPr>
              <w:t>2</w:t>
            </w:r>
            <w:r w:rsidRPr="00502C5B">
              <w:rPr>
                <w:rFonts w:ascii="Palatino Linotype" w:hAnsi="Palatino Linotype"/>
                <w:noProof/>
                <w:webHidden/>
              </w:rPr>
              <w:fldChar w:fldCharType="end"/>
            </w:r>
          </w:hyperlink>
        </w:p>
        <w:p w14:paraId="5053407A" w14:textId="6EF0E88C" w:rsidR="00502C5B" w:rsidRPr="00502C5B" w:rsidRDefault="00081DD1">
          <w:pPr>
            <w:pStyle w:val="TM1"/>
            <w:tabs>
              <w:tab w:val="left" w:pos="480"/>
              <w:tab w:val="right" w:pos="8630"/>
            </w:tabs>
            <w:rPr>
              <w:rFonts w:ascii="Palatino Linotype" w:eastAsiaTheme="minorEastAsia" w:hAnsi="Palatino Linotype" w:cstheme="minorBidi"/>
              <w:noProof/>
              <w:color w:val="auto"/>
              <w:sz w:val="22"/>
              <w:szCs w:val="22"/>
            </w:rPr>
          </w:pPr>
          <w:hyperlink w:anchor="_Toc503952498" w:history="1">
            <w:r w:rsidR="00502C5B" w:rsidRPr="00502C5B">
              <w:rPr>
                <w:rStyle w:val="Lienhypertexte"/>
                <w:rFonts w:ascii="Palatino Linotype" w:hAnsi="Palatino Linotype"/>
                <w:noProof/>
              </w:rPr>
              <w:t>2.</w:t>
            </w:r>
            <w:r w:rsidR="00502C5B" w:rsidRPr="00502C5B">
              <w:rPr>
                <w:rFonts w:ascii="Palatino Linotype" w:eastAsiaTheme="minorEastAsia" w:hAnsi="Palatino Linotype" w:cstheme="minorBidi"/>
                <w:noProof/>
                <w:color w:val="auto"/>
                <w:sz w:val="22"/>
                <w:szCs w:val="22"/>
              </w:rPr>
              <w:tab/>
            </w:r>
            <w:r w:rsidR="00502C5B" w:rsidRPr="00502C5B">
              <w:rPr>
                <w:rStyle w:val="Lienhypertexte"/>
                <w:rFonts w:ascii="Palatino Linotype" w:hAnsi="Palatino Linotype"/>
                <w:noProof/>
              </w:rPr>
              <w:t>Factual or causal beliefs</w:t>
            </w:r>
            <w:r w:rsidR="00502C5B" w:rsidRPr="00502C5B">
              <w:rPr>
                <w:rFonts w:ascii="Palatino Linotype" w:hAnsi="Palatino Linotype"/>
                <w:noProof/>
                <w:webHidden/>
              </w:rPr>
              <w:tab/>
            </w:r>
            <w:r w:rsidR="00502C5B" w:rsidRPr="00502C5B">
              <w:rPr>
                <w:rFonts w:ascii="Palatino Linotype" w:hAnsi="Palatino Linotype"/>
                <w:noProof/>
                <w:webHidden/>
              </w:rPr>
              <w:fldChar w:fldCharType="begin"/>
            </w:r>
            <w:r w:rsidR="00502C5B" w:rsidRPr="00502C5B">
              <w:rPr>
                <w:rFonts w:ascii="Palatino Linotype" w:hAnsi="Palatino Linotype"/>
                <w:noProof/>
                <w:webHidden/>
              </w:rPr>
              <w:instrText xml:space="preserve"> PAGEREF _Toc503952498 \h </w:instrText>
            </w:r>
            <w:r w:rsidR="00502C5B" w:rsidRPr="00502C5B">
              <w:rPr>
                <w:rFonts w:ascii="Palatino Linotype" w:hAnsi="Palatino Linotype"/>
                <w:noProof/>
                <w:webHidden/>
              </w:rPr>
            </w:r>
            <w:r w:rsidR="00502C5B" w:rsidRPr="00502C5B">
              <w:rPr>
                <w:rFonts w:ascii="Palatino Linotype" w:hAnsi="Palatino Linotype"/>
                <w:noProof/>
                <w:webHidden/>
              </w:rPr>
              <w:fldChar w:fldCharType="separate"/>
            </w:r>
            <w:r w:rsidR="00492362">
              <w:rPr>
                <w:rFonts w:ascii="Palatino Linotype" w:hAnsi="Palatino Linotype"/>
                <w:noProof/>
                <w:webHidden/>
              </w:rPr>
              <w:t>2</w:t>
            </w:r>
            <w:r w:rsidR="00502C5B" w:rsidRPr="00502C5B">
              <w:rPr>
                <w:rFonts w:ascii="Palatino Linotype" w:hAnsi="Palatino Linotype"/>
                <w:noProof/>
                <w:webHidden/>
              </w:rPr>
              <w:fldChar w:fldCharType="end"/>
            </w:r>
          </w:hyperlink>
        </w:p>
        <w:p w14:paraId="71B185C5" w14:textId="4B45B5BF" w:rsidR="00502C5B" w:rsidRPr="00502C5B" w:rsidRDefault="00081DD1">
          <w:pPr>
            <w:pStyle w:val="TM1"/>
            <w:tabs>
              <w:tab w:val="left" w:pos="480"/>
              <w:tab w:val="right" w:pos="8630"/>
            </w:tabs>
            <w:rPr>
              <w:rFonts w:ascii="Palatino Linotype" w:eastAsiaTheme="minorEastAsia" w:hAnsi="Palatino Linotype" w:cstheme="minorBidi"/>
              <w:noProof/>
              <w:color w:val="auto"/>
              <w:sz w:val="22"/>
              <w:szCs w:val="22"/>
            </w:rPr>
          </w:pPr>
          <w:hyperlink w:anchor="_Toc503952501" w:history="1">
            <w:r w:rsidR="00502C5B" w:rsidRPr="00502C5B">
              <w:rPr>
                <w:rStyle w:val="Lienhypertexte"/>
                <w:rFonts w:ascii="Palatino Linotype" w:hAnsi="Palatino Linotype"/>
                <w:noProof/>
              </w:rPr>
              <w:t>3.</w:t>
            </w:r>
            <w:r w:rsidR="00502C5B" w:rsidRPr="00502C5B">
              <w:rPr>
                <w:rFonts w:ascii="Palatino Linotype" w:eastAsiaTheme="minorEastAsia" w:hAnsi="Palatino Linotype" w:cstheme="minorBidi"/>
                <w:noProof/>
                <w:color w:val="auto"/>
                <w:sz w:val="22"/>
                <w:szCs w:val="22"/>
              </w:rPr>
              <w:tab/>
            </w:r>
            <w:r w:rsidR="00502C5B" w:rsidRPr="00502C5B">
              <w:rPr>
                <w:rStyle w:val="Lienhypertexte"/>
                <w:rFonts w:ascii="Palatino Linotype" w:hAnsi="Palatino Linotype"/>
                <w:noProof/>
              </w:rPr>
              <w:t>Principles</w:t>
            </w:r>
            <w:r w:rsidR="00502C5B" w:rsidRPr="00502C5B">
              <w:rPr>
                <w:rFonts w:ascii="Palatino Linotype" w:hAnsi="Palatino Linotype"/>
                <w:noProof/>
                <w:webHidden/>
              </w:rPr>
              <w:tab/>
            </w:r>
            <w:r w:rsidR="00502C5B" w:rsidRPr="00502C5B">
              <w:rPr>
                <w:rFonts w:ascii="Palatino Linotype" w:hAnsi="Palatino Linotype"/>
                <w:noProof/>
                <w:webHidden/>
              </w:rPr>
              <w:fldChar w:fldCharType="begin"/>
            </w:r>
            <w:r w:rsidR="00502C5B" w:rsidRPr="00502C5B">
              <w:rPr>
                <w:rFonts w:ascii="Palatino Linotype" w:hAnsi="Palatino Linotype"/>
                <w:noProof/>
                <w:webHidden/>
              </w:rPr>
              <w:instrText xml:space="preserve"> PAGEREF _Toc503952501 \h </w:instrText>
            </w:r>
            <w:r w:rsidR="00502C5B" w:rsidRPr="00502C5B">
              <w:rPr>
                <w:rFonts w:ascii="Palatino Linotype" w:hAnsi="Palatino Linotype"/>
                <w:noProof/>
                <w:webHidden/>
              </w:rPr>
            </w:r>
            <w:r w:rsidR="00502C5B" w:rsidRPr="00502C5B">
              <w:rPr>
                <w:rFonts w:ascii="Palatino Linotype" w:hAnsi="Palatino Linotype"/>
                <w:noProof/>
                <w:webHidden/>
              </w:rPr>
              <w:fldChar w:fldCharType="separate"/>
            </w:r>
            <w:r w:rsidR="00492362">
              <w:rPr>
                <w:rFonts w:ascii="Palatino Linotype" w:hAnsi="Palatino Linotype"/>
                <w:noProof/>
                <w:webHidden/>
              </w:rPr>
              <w:t>3</w:t>
            </w:r>
            <w:r w:rsidR="00502C5B" w:rsidRPr="00502C5B">
              <w:rPr>
                <w:rFonts w:ascii="Palatino Linotype" w:hAnsi="Palatino Linotype"/>
                <w:noProof/>
                <w:webHidden/>
              </w:rPr>
              <w:fldChar w:fldCharType="end"/>
            </w:r>
          </w:hyperlink>
        </w:p>
        <w:p w14:paraId="61DA2F27" w14:textId="3DB05093" w:rsidR="00502C5B" w:rsidRPr="00502C5B" w:rsidRDefault="00081DD1">
          <w:pPr>
            <w:pStyle w:val="TM1"/>
            <w:tabs>
              <w:tab w:val="left" w:pos="480"/>
              <w:tab w:val="right" w:pos="8630"/>
            </w:tabs>
            <w:rPr>
              <w:rFonts w:ascii="Palatino Linotype" w:eastAsiaTheme="minorEastAsia" w:hAnsi="Palatino Linotype" w:cstheme="minorBidi"/>
              <w:noProof/>
              <w:color w:val="auto"/>
              <w:sz w:val="22"/>
              <w:szCs w:val="22"/>
            </w:rPr>
          </w:pPr>
          <w:hyperlink w:anchor="_Toc503952505" w:history="1">
            <w:r w:rsidR="00502C5B" w:rsidRPr="00502C5B">
              <w:rPr>
                <w:rStyle w:val="Lienhypertexte"/>
                <w:rFonts w:ascii="Palatino Linotype" w:hAnsi="Palatino Linotype"/>
                <w:noProof/>
              </w:rPr>
              <w:t>4.</w:t>
            </w:r>
            <w:r w:rsidR="00502C5B" w:rsidRPr="00502C5B">
              <w:rPr>
                <w:rFonts w:ascii="Palatino Linotype" w:eastAsiaTheme="minorEastAsia" w:hAnsi="Palatino Linotype" w:cstheme="minorBidi"/>
                <w:noProof/>
                <w:color w:val="auto"/>
                <w:sz w:val="22"/>
                <w:szCs w:val="22"/>
              </w:rPr>
              <w:tab/>
            </w:r>
            <w:r w:rsidR="00502C5B" w:rsidRPr="00502C5B">
              <w:rPr>
                <w:rStyle w:val="Lienhypertexte"/>
                <w:rFonts w:ascii="Palatino Linotype" w:hAnsi="Palatino Linotype"/>
                <w:noProof/>
              </w:rPr>
              <w:t>Imports and Exports</w:t>
            </w:r>
            <w:r w:rsidR="00502C5B" w:rsidRPr="00502C5B">
              <w:rPr>
                <w:rFonts w:ascii="Palatino Linotype" w:hAnsi="Palatino Linotype"/>
                <w:noProof/>
                <w:webHidden/>
              </w:rPr>
              <w:tab/>
            </w:r>
            <w:r w:rsidR="00502C5B" w:rsidRPr="00502C5B">
              <w:rPr>
                <w:rFonts w:ascii="Palatino Linotype" w:hAnsi="Palatino Linotype"/>
                <w:noProof/>
                <w:webHidden/>
              </w:rPr>
              <w:fldChar w:fldCharType="begin"/>
            </w:r>
            <w:r w:rsidR="00502C5B" w:rsidRPr="00502C5B">
              <w:rPr>
                <w:rFonts w:ascii="Palatino Linotype" w:hAnsi="Palatino Linotype"/>
                <w:noProof/>
                <w:webHidden/>
              </w:rPr>
              <w:instrText xml:space="preserve"> PAGEREF _Toc503952505 \h </w:instrText>
            </w:r>
            <w:r w:rsidR="00502C5B" w:rsidRPr="00502C5B">
              <w:rPr>
                <w:rFonts w:ascii="Palatino Linotype" w:hAnsi="Palatino Linotype"/>
                <w:noProof/>
                <w:webHidden/>
              </w:rPr>
            </w:r>
            <w:r w:rsidR="00502C5B" w:rsidRPr="00502C5B">
              <w:rPr>
                <w:rFonts w:ascii="Palatino Linotype" w:hAnsi="Palatino Linotype"/>
                <w:noProof/>
                <w:webHidden/>
              </w:rPr>
              <w:fldChar w:fldCharType="separate"/>
            </w:r>
            <w:r w:rsidR="00492362">
              <w:rPr>
                <w:rFonts w:ascii="Palatino Linotype" w:hAnsi="Palatino Linotype"/>
                <w:noProof/>
                <w:webHidden/>
              </w:rPr>
              <w:t>4</w:t>
            </w:r>
            <w:r w:rsidR="00502C5B" w:rsidRPr="00502C5B">
              <w:rPr>
                <w:rFonts w:ascii="Palatino Linotype" w:hAnsi="Palatino Linotype"/>
                <w:noProof/>
                <w:webHidden/>
              </w:rPr>
              <w:fldChar w:fldCharType="end"/>
            </w:r>
          </w:hyperlink>
        </w:p>
        <w:p w14:paraId="3F56E070" w14:textId="1105FA48" w:rsidR="00502C5B" w:rsidRPr="00502C5B" w:rsidRDefault="00081DD1">
          <w:pPr>
            <w:pStyle w:val="TM1"/>
            <w:tabs>
              <w:tab w:val="left" w:pos="480"/>
              <w:tab w:val="right" w:pos="8630"/>
            </w:tabs>
            <w:rPr>
              <w:rFonts w:ascii="Palatino Linotype" w:eastAsiaTheme="minorEastAsia" w:hAnsi="Palatino Linotype" w:cstheme="minorBidi"/>
              <w:noProof/>
              <w:color w:val="auto"/>
              <w:sz w:val="22"/>
              <w:szCs w:val="22"/>
            </w:rPr>
          </w:pPr>
          <w:hyperlink w:anchor="_Toc503952508" w:history="1">
            <w:r w:rsidR="00502C5B" w:rsidRPr="00502C5B">
              <w:rPr>
                <w:rStyle w:val="Lienhypertexte"/>
                <w:rFonts w:ascii="Palatino Linotype" w:hAnsi="Palatino Linotype"/>
                <w:noProof/>
                <w:lang w:val="en-CA"/>
              </w:rPr>
              <w:t>5.</w:t>
            </w:r>
            <w:r w:rsidR="00502C5B" w:rsidRPr="00502C5B">
              <w:rPr>
                <w:rFonts w:ascii="Palatino Linotype" w:eastAsiaTheme="minorEastAsia" w:hAnsi="Palatino Linotype" w:cstheme="minorBidi"/>
                <w:noProof/>
                <w:color w:val="auto"/>
                <w:sz w:val="22"/>
                <w:szCs w:val="22"/>
              </w:rPr>
              <w:tab/>
            </w:r>
            <w:r w:rsidR="00502C5B" w:rsidRPr="00502C5B">
              <w:rPr>
                <w:rStyle w:val="Lienhypertexte"/>
                <w:rFonts w:ascii="Palatino Linotype" w:hAnsi="Palatino Linotype"/>
                <w:noProof/>
                <w:lang w:val="en-CA"/>
              </w:rPr>
              <w:t>Promotion of certain activities</w:t>
            </w:r>
            <w:r w:rsidR="00502C5B" w:rsidRPr="00502C5B">
              <w:rPr>
                <w:rFonts w:ascii="Palatino Linotype" w:hAnsi="Palatino Linotype"/>
                <w:noProof/>
                <w:webHidden/>
              </w:rPr>
              <w:tab/>
            </w:r>
            <w:r w:rsidR="00502C5B" w:rsidRPr="00502C5B">
              <w:rPr>
                <w:rFonts w:ascii="Palatino Linotype" w:hAnsi="Palatino Linotype"/>
                <w:noProof/>
                <w:webHidden/>
              </w:rPr>
              <w:fldChar w:fldCharType="begin"/>
            </w:r>
            <w:r w:rsidR="00502C5B" w:rsidRPr="00502C5B">
              <w:rPr>
                <w:rFonts w:ascii="Palatino Linotype" w:hAnsi="Palatino Linotype"/>
                <w:noProof/>
                <w:webHidden/>
              </w:rPr>
              <w:instrText xml:space="preserve"> PAGEREF _Toc503952508 \h </w:instrText>
            </w:r>
            <w:r w:rsidR="00502C5B" w:rsidRPr="00502C5B">
              <w:rPr>
                <w:rFonts w:ascii="Palatino Linotype" w:hAnsi="Palatino Linotype"/>
                <w:noProof/>
                <w:webHidden/>
              </w:rPr>
            </w:r>
            <w:r w:rsidR="00502C5B" w:rsidRPr="00502C5B">
              <w:rPr>
                <w:rFonts w:ascii="Palatino Linotype" w:hAnsi="Palatino Linotype"/>
                <w:noProof/>
                <w:webHidden/>
              </w:rPr>
              <w:fldChar w:fldCharType="separate"/>
            </w:r>
            <w:r w:rsidR="00492362">
              <w:rPr>
                <w:rFonts w:ascii="Palatino Linotype" w:hAnsi="Palatino Linotype"/>
                <w:noProof/>
                <w:webHidden/>
              </w:rPr>
              <w:t>5</w:t>
            </w:r>
            <w:r w:rsidR="00502C5B" w:rsidRPr="00502C5B">
              <w:rPr>
                <w:rFonts w:ascii="Palatino Linotype" w:hAnsi="Palatino Linotype"/>
                <w:noProof/>
                <w:webHidden/>
              </w:rPr>
              <w:fldChar w:fldCharType="end"/>
            </w:r>
          </w:hyperlink>
        </w:p>
        <w:p w14:paraId="5A27BF79" w14:textId="68BD1CB4" w:rsidR="00502C5B" w:rsidRPr="00502C5B" w:rsidRDefault="00081DD1">
          <w:pPr>
            <w:pStyle w:val="TM1"/>
            <w:tabs>
              <w:tab w:val="left" w:pos="480"/>
              <w:tab w:val="right" w:pos="8630"/>
            </w:tabs>
            <w:rPr>
              <w:rFonts w:ascii="Palatino Linotype" w:eastAsiaTheme="minorEastAsia" w:hAnsi="Palatino Linotype" w:cstheme="minorBidi"/>
              <w:noProof/>
              <w:color w:val="auto"/>
              <w:sz w:val="22"/>
              <w:szCs w:val="22"/>
            </w:rPr>
          </w:pPr>
          <w:hyperlink w:anchor="_Toc503952510" w:history="1">
            <w:r w:rsidR="00502C5B" w:rsidRPr="00502C5B">
              <w:rPr>
                <w:rStyle w:val="Lienhypertexte"/>
                <w:rFonts w:ascii="Palatino Linotype" w:hAnsi="Palatino Linotype"/>
                <w:noProof/>
              </w:rPr>
              <w:t>8.</w:t>
            </w:r>
            <w:r w:rsidR="00502C5B" w:rsidRPr="00502C5B">
              <w:rPr>
                <w:rFonts w:ascii="Palatino Linotype" w:eastAsiaTheme="minorEastAsia" w:hAnsi="Palatino Linotype" w:cstheme="minorBidi"/>
                <w:noProof/>
                <w:color w:val="auto"/>
                <w:sz w:val="22"/>
                <w:szCs w:val="22"/>
              </w:rPr>
              <w:tab/>
            </w:r>
            <w:r w:rsidR="00502C5B" w:rsidRPr="00502C5B">
              <w:rPr>
                <w:rStyle w:val="Lienhypertexte"/>
                <w:rFonts w:ascii="Palatino Linotype" w:hAnsi="Palatino Linotype"/>
                <w:noProof/>
              </w:rPr>
              <w:t>Flexibility</w:t>
            </w:r>
            <w:r w:rsidR="00502C5B" w:rsidRPr="00502C5B">
              <w:rPr>
                <w:rFonts w:ascii="Palatino Linotype" w:hAnsi="Palatino Linotype"/>
                <w:noProof/>
                <w:webHidden/>
              </w:rPr>
              <w:tab/>
            </w:r>
            <w:r w:rsidR="00502C5B" w:rsidRPr="00502C5B">
              <w:rPr>
                <w:rFonts w:ascii="Palatino Linotype" w:hAnsi="Palatino Linotype"/>
                <w:noProof/>
                <w:webHidden/>
              </w:rPr>
              <w:fldChar w:fldCharType="begin"/>
            </w:r>
            <w:r w:rsidR="00502C5B" w:rsidRPr="00502C5B">
              <w:rPr>
                <w:rFonts w:ascii="Palatino Linotype" w:hAnsi="Palatino Linotype"/>
                <w:noProof/>
                <w:webHidden/>
              </w:rPr>
              <w:instrText xml:space="preserve"> PAGEREF _Toc503952510 \h </w:instrText>
            </w:r>
            <w:r w:rsidR="00502C5B" w:rsidRPr="00502C5B">
              <w:rPr>
                <w:rFonts w:ascii="Palatino Linotype" w:hAnsi="Palatino Linotype"/>
                <w:noProof/>
                <w:webHidden/>
              </w:rPr>
            </w:r>
            <w:r w:rsidR="00502C5B" w:rsidRPr="00502C5B">
              <w:rPr>
                <w:rFonts w:ascii="Palatino Linotype" w:hAnsi="Palatino Linotype"/>
                <w:noProof/>
                <w:webHidden/>
              </w:rPr>
              <w:fldChar w:fldCharType="separate"/>
            </w:r>
            <w:r w:rsidR="00492362">
              <w:rPr>
                <w:rFonts w:ascii="Palatino Linotype" w:hAnsi="Palatino Linotype"/>
                <w:noProof/>
                <w:webHidden/>
              </w:rPr>
              <w:t>6</w:t>
            </w:r>
            <w:r w:rsidR="00502C5B" w:rsidRPr="00502C5B">
              <w:rPr>
                <w:rFonts w:ascii="Palatino Linotype" w:hAnsi="Palatino Linotype"/>
                <w:noProof/>
                <w:webHidden/>
              </w:rPr>
              <w:fldChar w:fldCharType="end"/>
            </w:r>
          </w:hyperlink>
        </w:p>
        <w:p w14:paraId="12D944E0" w14:textId="556D0249" w:rsidR="00502C5B" w:rsidRPr="00502C5B" w:rsidRDefault="00081DD1">
          <w:pPr>
            <w:pStyle w:val="TM1"/>
            <w:tabs>
              <w:tab w:val="left" w:pos="480"/>
              <w:tab w:val="right" w:pos="8630"/>
            </w:tabs>
            <w:rPr>
              <w:rFonts w:ascii="Palatino Linotype" w:eastAsiaTheme="minorEastAsia" w:hAnsi="Palatino Linotype" w:cstheme="minorBidi"/>
              <w:noProof/>
              <w:color w:val="auto"/>
              <w:sz w:val="22"/>
              <w:szCs w:val="22"/>
            </w:rPr>
          </w:pPr>
          <w:hyperlink w:anchor="_Toc503952513" w:history="1">
            <w:r w:rsidR="00502C5B" w:rsidRPr="00502C5B">
              <w:rPr>
                <w:rStyle w:val="Lienhypertexte"/>
                <w:rFonts w:ascii="Palatino Linotype" w:hAnsi="Palatino Linotype"/>
                <w:noProof/>
              </w:rPr>
              <w:t>9.</w:t>
            </w:r>
            <w:r w:rsidR="00502C5B" w:rsidRPr="00502C5B">
              <w:rPr>
                <w:rFonts w:ascii="Palatino Linotype" w:eastAsiaTheme="minorEastAsia" w:hAnsi="Palatino Linotype" w:cstheme="minorBidi"/>
                <w:noProof/>
                <w:color w:val="auto"/>
                <w:sz w:val="22"/>
                <w:szCs w:val="22"/>
              </w:rPr>
              <w:tab/>
            </w:r>
            <w:r w:rsidR="00502C5B" w:rsidRPr="00502C5B">
              <w:rPr>
                <w:rStyle w:val="Lienhypertexte"/>
                <w:rFonts w:ascii="Palatino Linotype" w:hAnsi="Palatino Linotype"/>
                <w:noProof/>
              </w:rPr>
              <w:t>Follow up cooperation</w:t>
            </w:r>
            <w:r w:rsidR="00502C5B" w:rsidRPr="00502C5B">
              <w:rPr>
                <w:rFonts w:ascii="Palatino Linotype" w:hAnsi="Palatino Linotype"/>
                <w:noProof/>
                <w:webHidden/>
              </w:rPr>
              <w:tab/>
            </w:r>
            <w:r w:rsidR="00502C5B" w:rsidRPr="00502C5B">
              <w:rPr>
                <w:rFonts w:ascii="Palatino Linotype" w:hAnsi="Palatino Linotype"/>
                <w:noProof/>
                <w:webHidden/>
              </w:rPr>
              <w:fldChar w:fldCharType="begin"/>
            </w:r>
            <w:r w:rsidR="00502C5B" w:rsidRPr="00502C5B">
              <w:rPr>
                <w:rFonts w:ascii="Palatino Linotype" w:hAnsi="Palatino Linotype"/>
                <w:noProof/>
                <w:webHidden/>
              </w:rPr>
              <w:instrText xml:space="preserve"> PAGEREF _Toc503952513 \h </w:instrText>
            </w:r>
            <w:r w:rsidR="00502C5B" w:rsidRPr="00502C5B">
              <w:rPr>
                <w:rFonts w:ascii="Palatino Linotype" w:hAnsi="Palatino Linotype"/>
                <w:noProof/>
                <w:webHidden/>
              </w:rPr>
            </w:r>
            <w:r w:rsidR="00502C5B" w:rsidRPr="00502C5B">
              <w:rPr>
                <w:rFonts w:ascii="Palatino Linotype" w:hAnsi="Palatino Linotype"/>
                <w:noProof/>
                <w:webHidden/>
              </w:rPr>
              <w:fldChar w:fldCharType="separate"/>
            </w:r>
            <w:r w:rsidR="00492362">
              <w:rPr>
                <w:rFonts w:ascii="Palatino Linotype" w:hAnsi="Palatino Linotype"/>
                <w:noProof/>
                <w:webHidden/>
              </w:rPr>
              <w:t>6</w:t>
            </w:r>
            <w:r w:rsidR="00502C5B" w:rsidRPr="00502C5B">
              <w:rPr>
                <w:rFonts w:ascii="Palatino Linotype" w:hAnsi="Palatino Linotype"/>
                <w:noProof/>
                <w:webHidden/>
              </w:rPr>
              <w:fldChar w:fldCharType="end"/>
            </w:r>
          </w:hyperlink>
        </w:p>
        <w:p w14:paraId="575CE2C9" w14:textId="5AE83D77" w:rsidR="00502C5B" w:rsidRPr="00502C5B" w:rsidRDefault="00081DD1">
          <w:pPr>
            <w:pStyle w:val="TM1"/>
            <w:tabs>
              <w:tab w:val="left" w:pos="660"/>
              <w:tab w:val="right" w:pos="8630"/>
            </w:tabs>
            <w:rPr>
              <w:rFonts w:ascii="Palatino Linotype" w:eastAsiaTheme="minorEastAsia" w:hAnsi="Palatino Linotype" w:cstheme="minorBidi"/>
              <w:noProof/>
              <w:color w:val="auto"/>
              <w:sz w:val="22"/>
              <w:szCs w:val="22"/>
            </w:rPr>
          </w:pPr>
          <w:hyperlink w:anchor="_Toc503952518" w:history="1">
            <w:r w:rsidR="00502C5B" w:rsidRPr="00502C5B">
              <w:rPr>
                <w:rStyle w:val="Lienhypertexte"/>
                <w:rFonts w:ascii="Palatino Linotype" w:hAnsi="Palatino Linotype"/>
                <w:noProof/>
              </w:rPr>
              <w:t>14.</w:t>
            </w:r>
            <w:r w:rsidR="00502C5B" w:rsidRPr="00502C5B">
              <w:rPr>
                <w:rFonts w:ascii="Palatino Linotype" w:eastAsiaTheme="minorEastAsia" w:hAnsi="Palatino Linotype" w:cstheme="minorBidi"/>
                <w:noProof/>
                <w:color w:val="auto"/>
                <w:sz w:val="22"/>
                <w:szCs w:val="22"/>
              </w:rPr>
              <w:tab/>
            </w:r>
            <w:r w:rsidR="00502C5B" w:rsidRPr="00502C5B">
              <w:rPr>
                <w:rStyle w:val="Lienhypertexte"/>
                <w:rFonts w:ascii="Palatino Linotype" w:hAnsi="Palatino Linotype"/>
                <w:noProof/>
              </w:rPr>
              <w:t>References to other international institutions</w:t>
            </w:r>
            <w:r w:rsidR="00502C5B" w:rsidRPr="00502C5B">
              <w:rPr>
                <w:rFonts w:ascii="Palatino Linotype" w:hAnsi="Palatino Linotype"/>
                <w:noProof/>
                <w:webHidden/>
              </w:rPr>
              <w:tab/>
            </w:r>
            <w:r w:rsidR="00502C5B" w:rsidRPr="00502C5B">
              <w:rPr>
                <w:rFonts w:ascii="Palatino Linotype" w:hAnsi="Palatino Linotype"/>
                <w:noProof/>
                <w:webHidden/>
              </w:rPr>
              <w:fldChar w:fldCharType="begin"/>
            </w:r>
            <w:r w:rsidR="00502C5B" w:rsidRPr="00502C5B">
              <w:rPr>
                <w:rFonts w:ascii="Palatino Linotype" w:hAnsi="Palatino Linotype"/>
                <w:noProof/>
                <w:webHidden/>
              </w:rPr>
              <w:instrText xml:space="preserve"> PAGEREF _Toc503952518 \h </w:instrText>
            </w:r>
            <w:r w:rsidR="00502C5B" w:rsidRPr="00502C5B">
              <w:rPr>
                <w:rFonts w:ascii="Palatino Linotype" w:hAnsi="Palatino Linotype"/>
                <w:noProof/>
                <w:webHidden/>
              </w:rPr>
            </w:r>
            <w:r w:rsidR="00502C5B" w:rsidRPr="00502C5B">
              <w:rPr>
                <w:rFonts w:ascii="Palatino Linotype" w:hAnsi="Palatino Linotype"/>
                <w:noProof/>
                <w:webHidden/>
              </w:rPr>
              <w:fldChar w:fldCharType="separate"/>
            </w:r>
            <w:r w:rsidR="00492362">
              <w:rPr>
                <w:rFonts w:ascii="Palatino Linotype" w:hAnsi="Palatino Linotype"/>
                <w:noProof/>
                <w:webHidden/>
              </w:rPr>
              <w:t>7</w:t>
            </w:r>
            <w:r w:rsidR="00502C5B" w:rsidRPr="00502C5B">
              <w:rPr>
                <w:rFonts w:ascii="Palatino Linotype" w:hAnsi="Palatino Linotype"/>
                <w:noProof/>
                <w:webHidden/>
              </w:rPr>
              <w:fldChar w:fldCharType="end"/>
            </w:r>
          </w:hyperlink>
        </w:p>
        <w:p w14:paraId="2585A37B" w14:textId="3CEA6EB9" w:rsidR="00502C5B" w:rsidRDefault="00502C5B">
          <w:r>
            <w:rPr>
              <w:b/>
              <w:bCs/>
              <w:lang w:val="fr-FR"/>
            </w:rPr>
            <w:fldChar w:fldCharType="end"/>
          </w:r>
        </w:p>
      </w:sdtContent>
    </w:sdt>
    <w:p w14:paraId="3FBBD84D" w14:textId="77777777" w:rsidR="003C2BC9" w:rsidRDefault="003C2BC9" w:rsidP="0091125C">
      <w:pPr>
        <w:rPr>
          <w:rFonts w:ascii="Palatino Linotype" w:hAnsi="Palatino Linotype"/>
          <w:lang w:val="en-CA"/>
        </w:rPr>
        <w:sectPr w:rsidR="003C2BC9" w:rsidSect="00E628E9">
          <w:footerReference w:type="default" r:id="rId8"/>
          <w:footerReference w:type="first" r:id="rId9"/>
          <w:type w:val="continuous"/>
          <w:pgSz w:w="12240" w:h="15840"/>
          <w:pgMar w:top="1440" w:right="1800" w:bottom="1440" w:left="1800" w:header="0" w:footer="720" w:gutter="0"/>
          <w:pgNumType w:fmt="lowerRoman"/>
          <w:cols w:space="720"/>
          <w:titlePg/>
          <w:docGrid w:linePitch="326"/>
        </w:sectPr>
      </w:pPr>
    </w:p>
    <w:p w14:paraId="6A013905" w14:textId="77777777" w:rsidR="00E628E9" w:rsidRDefault="00E628E9" w:rsidP="0091125C">
      <w:pPr>
        <w:jc w:val="center"/>
        <w:rPr>
          <w:rFonts w:ascii="Palatino Linotype" w:hAnsi="Palatino Linotype"/>
          <w:b/>
          <w:lang w:val="en-CA"/>
        </w:rPr>
        <w:sectPr w:rsidR="00E628E9" w:rsidSect="00E628E9">
          <w:type w:val="continuous"/>
          <w:pgSz w:w="12240" w:h="15840"/>
          <w:pgMar w:top="1134" w:right="851" w:bottom="1134" w:left="851" w:header="0" w:footer="720" w:gutter="0"/>
          <w:pgNumType w:start="1"/>
          <w:cols w:space="720"/>
        </w:sectPr>
      </w:pPr>
      <w:bookmarkStart w:id="1" w:name="_gjdgxs" w:colFirst="0" w:colLast="0"/>
      <w:bookmarkEnd w:id="1"/>
    </w:p>
    <w:p w14:paraId="3D579F72" w14:textId="00AF8EAD" w:rsidR="00FA7323" w:rsidRPr="00AF7006" w:rsidRDefault="008A0520" w:rsidP="0091125C">
      <w:pPr>
        <w:jc w:val="center"/>
        <w:rPr>
          <w:rFonts w:ascii="Palatino Linotype" w:hAnsi="Palatino Linotype"/>
          <w:b/>
          <w:lang w:val="en-CA"/>
        </w:rPr>
      </w:pPr>
      <w:r w:rsidRPr="00AF7006">
        <w:rPr>
          <w:rFonts w:ascii="Palatino Linotype" w:hAnsi="Palatino Linotype"/>
          <w:b/>
          <w:lang w:val="en-CA"/>
        </w:rPr>
        <w:lastRenderedPageBreak/>
        <w:t>METHODOLOGY</w:t>
      </w:r>
    </w:p>
    <w:p w14:paraId="658CB4F3" w14:textId="77777777" w:rsidR="00AF7006" w:rsidRDefault="00AF7006" w:rsidP="0091125C">
      <w:pPr>
        <w:rPr>
          <w:rFonts w:ascii="Palatino Linotype" w:hAnsi="Palatino Linotype"/>
          <w:sz w:val="20"/>
          <w:szCs w:val="20"/>
          <w:lang w:val="en-CA"/>
        </w:rPr>
      </w:pPr>
      <w:bookmarkStart w:id="2" w:name="_30j0zll" w:colFirst="0" w:colLast="0"/>
      <w:bookmarkEnd w:id="2"/>
    </w:p>
    <w:p w14:paraId="0CF5A721" w14:textId="77777777" w:rsidR="008756E5" w:rsidRPr="008756E5" w:rsidRDefault="008756E5" w:rsidP="008756E5">
      <w:pPr>
        <w:rPr>
          <w:rFonts w:ascii="Palatino Linotype" w:hAnsi="Palatino Linotype"/>
          <w:b/>
          <w:sz w:val="22"/>
          <w:szCs w:val="20"/>
          <w:lang w:val="en-CA"/>
        </w:rPr>
      </w:pPr>
      <w:r w:rsidRPr="008756E5">
        <w:rPr>
          <w:rFonts w:ascii="Palatino Linotype" w:hAnsi="Palatino Linotype"/>
          <w:b/>
          <w:sz w:val="22"/>
          <w:szCs w:val="20"/>
          <w:lang w:val="en-CA"/>
        </w:rPr>
        <w:t xml:space="preserve">What count as a “norm”? </w:t>
      </w:r>
    </w:p>
    <w:p w14:paraId="47194453" w14:textId="77777777" w:rsidR="008756E5" w:rsidRPr="001F4269" w:rsidRDefault="008756E5" w:rsidP="008756E5">
      <w:pPr>
        <w:rPr>
          <w:lang w:val="en-CA"/>
        </w:rPr>
      </w:pPr>
    </w:p>
    <w:p w14:paraId="2F5F0BDB"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Except when otherwise expressly </w:t>
      </w:r>
      <w:proofErr w:type="gramStart"/>
      <w:r w:rsidRPr="008756E5">
        <w:rPr>
          <w:rFonts w:ascii="Palatino Linotype" w:hAnsi="Palatino Linotype"/>
          <w:sz w:val="20"/>
          <w:lang w:val="en-CA"/>
        </w:rPr>
        <w:t>indicated</w:t>
      </w:r>
      <w:proofErr w:type="gramEnd"/>
      <w:r w:rsidRPr="008756E5">
        <w:rPr>
          <w:rFonts w:ascii="Palatino Linotype" w:hAnsi="Palatino Linotype"/>
          <w:sz w:val="20"/>
          <w:lang w:val="en-CA"/>
        </w:rPr>
        <w:t xml:space="preserve"> in this codebook, a norm does not need to have a high degree of commitment (“must”, “shall”, “will”, etc.). Norms with low degree of commitment (“may”, “could”, “best efforts”, “encourage”, “recognize”, etc.) are included. A norm can also be an example of a broader measure (“areas of cooperation may include”, “such as…”).</w:t>
      </w:r>
    </w:p>
    <w:p w14:paraId="6C569305"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A norm can be explicitly limited to a single Party. </w:t>
      </w:r>
    </w:p>
    <w:p w14:paraId="50530513"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A single norm </w:t>
      </w:r>
      <w:proofErr w:type="gramStart"/>
      <w:r w:rsidRPr="008756E5">
        <w:rPr>
          <w:rFonts w:ascii="Palatino Linotype" w:hAnsi="Palatino Linotype"/>
          <w:sz w:val="20"/>
          <w:lang w:val="en-CA"/>
        </w:rPr>
        <w:t>can be found</w:t>
      </w:r>
      <w:proofErr w:type="gramEnd"/>
      <w:r w:rsidRPr="008756E5">
        <w:rPr>
          <w:rFonts w:ascii="Palatino Linotype" w:hAnsi="Palatino Linotype"/>
          <w:sz w:val="20"/>
          <w:lang w:val="en-CA"/>
        </w:rPr>
        <w:t xml:space="preserve"> in different parts of the same agreement. </w:t>
      </w:r>
    </w:p>
    <w:p w14:paraId="1BF6973A"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Except when otherwise indicated, a norm can be found in any part of the agreement, including the preamble, annexes, parallel documents, footnotes, </w:t>
      </w:r>
      <w:proofErr w:type="gramStart"/>
      <w:r w:rsidRPr="008756E5">
        <w:rPr>
          <w:rFonts w:ascii="Palatino Linotype" w:hAnsi="Palatino Linotype"/>
          <w:sz w:val="20"/>
          <w:lang w:val="en-CA"/>
        </w:rPr>
        <w:t>exchanges</w:t>
      </w:r>
      <w:proofErr w:type="gramEnd"/>
      <w:r w:rsidRPr="008756E5">
        <w:rPr>
          <w:rFonts w:ascii="Palatino Linotype" w:hAnsi="Palatino Linotype"/>
          <w:sz w:val="20"/>
          <w:lang w:val="en-CA"/>
        </w:rPr>
        <w:t xml:space="preserve"> of letters. </w:t>
      </w:r>
    </w:p>
    <w:p w14:paraId="5E144012"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Except when otherwise </w:t>
      </w:r>
      <w:proofErr w:type="gramStart"/>
      <w:r w:rsidRPr="008756E5">
        <w:rPr>
          <w:rFonts w:ascii="Palatino Linotype" w:hAnsi="Palatino Linotype"/>
          <w:sz w:val="20"/>
          <w:lang w:val="en-CA"/>
        </w:rPr>
        <w:t>indicated</w:t>
      </w:r>
      <w:proofErr w:type="gramEnd"/>
      <w:r w:rsidRPr="008756E5">
        <w:rPr>
          <w:rFonts w:ascii="Palatino Linotype" w:hAnsi="Palatino Linotype"/>
          <w:sz w:val="20"/>
          <w:lang w:val="en-CA"/>
        </w:rPr>
        <w:t xml:space="preserve">, do not code the reservations. </w:t>
      </w:r>
    </w:p>
    <w:p w14:paraId="49EACEA0"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Norms are not mutually exclusive. A single article, or even a single sentence, can qualify for several different norms. </w:t>
      </w:r>
    </w:p>
    <w:p w14:paraId="5005B308"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Amendments to agreements </w:t>
      </w:r>
      <w:proofErr w:type="gramStart"/>
      <w:r w:rsidRPr="008756E5">
        <w:rPr>
          <w:rFonts w:ascii="Palatino Linotype" w:hAnsi="Palatino Linotype"/>
          <w:sz w:val="20"/>
          <w:lang w:val="en-CA"/>
        </w:rPr>
        <w:t>must be coded</w:t>
      </w:r>
      <w:proofErr w:type="gramEnd"/>
      <w:r w:rsidRPr="008756E5">
        <w:rPr>
          <w:rFonts w:ascii="Palatino Linotype" w:hAnsi="Palatino Linotype"/>
          <w:sz w:val="20"/>
          <w:lang w:val="en-CA"/>
        </w:rPr>
        <w:t xml:space="preserve"> taking into account of the original article that they modify. If the amendment only adds a single word to the original article, a norm </w:t>
      </w:r>
      <w:proofErr w:type="gramStart"/>
      <w:r w:rsidRPr="008756E5">
        <w:rPr>
          <w:rFonts w:ascii="Palatino Linotype" w:hAnsi="Palatino Linotype"/>
          <w:sz w:val="20"/>
          <w:lang w:val="en-CA"/>
        </w:rPr>
        <w:t>can still be found</w:t>
      </w:r>
      <w:proofErr w:type="gramEnd"/>
      <w:r w:rsidRPr="008756E5">
        <w:rPr>
          <w:rFonts w:ascii="Palatino Linotype" w:hAnsi="Palatino Linotype"/>
          <w:sz w:val="20"/>
          <w:lang w:val="en-CA"/>
        </w:rPr>
        <w:t xml:space="preserve"> in the amendment, since it is necessary to refer to the original article of the convention.</w:t>
      </w:r>
    </w:p>
    <w:p w14:paraId="05B20AC2" w14:textId="77777777" w:rsidR="008756E5" w:rsidRPr="008003D2" w:rsidRDefault="008756E5" w:rsidP="008756E5">
      <w:pPr>
        <w:rPr>
          <w:sz w:val="22"/>
          <w:lang w:val="en-CA"/>
        </w:rPr>
      </w:pPr>
    </w:p>
    <w:p w14:paraId="1A536795" w14:textId="77777777" w:rsidR="008756E5" w:rsidRPr="008756E5" w:rsidRDefault="008756E5" w:rsidP="008756E5">
      <w:pPr>
        <w:rPr>
          <w:rFonts w:ascii="Palatino Linotype" w:hAnsi="Palatino Linotype"/>
          <w:b/>
          <w:sz w:val="22"/>
          <w:szCs w:val="20"/>
          <w:lang w:val="en-CA"/>
        </w:rPr>
      </w:pPr>
      <w:r w:rsidRPr="008756E5">
        <w:rPr>
          <w:rFonts w:ascii="Palatino Linotype" w:hAnsi="Palatino Linotype"/>
          <w:b/>
          <w:sz w:val="22"/>
          <w:szCs w:val="20"/>
          <w:lang w:val="en-CA"/>
        </w:rPr>
        <w:t>What count as “environmental”?</w:t>
      </w:r>
    </w:p>
    <w:p w14:paraId="0CB96DF6" w14:textId="77777777" w:rsidR="008756E5" w:rsidRPr="008003D2" w:rsidRDefault="008756E5" w:rsidP="008756E5">
      <w:pPr>
        <w:rPr>
          <w:b/>
          <w:sz w:val="22"/>
          <w:szCs w:val="20"/>
          <w:lang w:val="en-CA"/>
        </w:rPr>
      </w:pPr>
    </w:p>
    <w:p w14:paraId="40BC3E00"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We do not consider that all norms in an environmental treaty are automatically environmental norms. </w:t>
      </w:r>
    </w:p>
    <w:p w14:paraId="10A3525B"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Environment </w:t>
      </w:r>
      <w:proofErr w:type="gramStart"/>
      <w:r w:rsidRPr="008756E5">
        <w:rPr>
          <w:rFonts w:ascii="Palatino Linotype" w:hAnsi="Palatino Linotype"/>
          <w:sz w:val="20"/>
          <w:lang w:val="en-CA"/>
        </w:rPr>
        <w:t>is considered</w:t>
      </w:r>
      <w:proofErr w:type="gramEnd"/>
      <w:r w:rsidRPr="008756E5">
        <w:rPr>
          <w:rFonts w:ascii="Palatino Linotype" w:hAnsi="Palatino Linotype"/>
          <w:sz w:val="20"/>
          <w:lang w:val="en-CA"/>
        </w:rPr>
        <w:t xml:space="preserve"> as the natural world - including air, water and soil/land - in which people, animals and plants live and develop. </w:t>
      </w:r>
    </w:p>
    <w:p w14:paraId="649B240E"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Environmental norms seek to manage or prevent human impacts on natural resources, plant and animal species, the atmosphere, oceans, rivers, lakes, terrestrial habitats and other elements of the natural world. </w:t>
      </w:r>
    </w:p>
    <w:p w14:paraId="2EC3135D"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Environmental norms may cover specific or general environment-related issues. Specific issues include, but are not limited </w:t>
      </w:r>
      <w:proofErr w:type="gramStart"/>
      <w:r w:rsidRPr="008756E5">
        <w:rPr>
          <w:rFonts w:ascii="Palatino Linotype" w:hAnsi="Palatino Linotype"/>
          <w:sz w:val="20"/>
          <w:lang w:val="en-CA"/>
        </w:rPr>
        <w:t>to:</w:t>
      </w:r>
      <w:proofErr w:type="gramEnd"/>
      <w:r w:rsidRPr="008756E5">
        <w:rPr>
          <w:rFonts w:ascii="Palatino Linotype" w:hAnsi="Palatino Linotype"/>
          <w:sz w:val="20"/>
          <w:lang w:val="en-CA"/>
        </w:rPr>
        <w:t xml:space="preserve"> biological diversity, desertification, endangered species, climate change, ozone layer, acid rain, migratory species, hazardous wastes, pollution and pollutant and wildlife trade. </w:t>
      </w:r>
    </w:p>
    <w:p w14:paraId="0CCAAE4E"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Environmental norms may also cover non-environmental issues, such as agriculture and aquaculture, energy, mining, farming, nuclear weapons, trade, cultural diversity, health, labour, weather, radiation, etc. </w:t>
      </w:r>
    </w:p>
    <w:p w14:paraId="0B0C6ED4" w14:textId="66A71279" w:rsidR="008756E5" w:rsidRPr="00492362"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Except when otherwise expressly </w:t>
      </w:r>
      <w:proofErr w:type="gramStart"/>
      <w:r w:rsidRPr="008756E5">
        <w:rPr>
          <w:rFonts w:ascii="Palatino Linotype" w:hAnsi="Palatino Linotype"/>
          <w:sz w:val="20"/>
          <w:lang w:val="en-CA"/>
        </w:rPr>
        <w:t>indicated</w:t>
      </w:r>
      <w:proofErr w:type="gramEnd"/>
      <w:r w:rsidRPr="008756E5">
        <w:rPr>
          <w:rFonts w:ascii="Palatino Linotype" w:hAnsi="Palatino Linotype"/>
          <w:sz w:val="20"/>
          <w:lang w:val="en-CA"/>
        </w:rPr>
        <w:t xml:space="preserve"> in this codebook, the term resource includes natural, biological and genetic resources as well as genetically modified resources. It excludes human and commercial resources. </w:t>
      </w:r>
    </w:p>
    <w:p w14:paraId="64B37072" w14:textId="77777777" w:rsidR="008756E5" w:rsidRDefault="008756E5" w:rsidP="008756E5">
      <w:pPr>
        <w:rPr>
          <w:rFonts w:ascii="Palatino Linotype" w:hAnsi="Palatino Linotype"/>
          <w:b/>
          <w:sz w:val="22"/>
          <w:szCs w:val="20"/>
          <w:lang w:val="en-CA"/>
        </w:rPr>
      </w:pPr>
    </w:p>
    <w:p w14:paraId="6546A2A9" w14:textId="2C200D85" w:rsidR="008756E5" w:rsidRDefault="008756E5" w:rsidP="008756E5">
      <w:pPr>
        <w:rPr>
          <w:rFonts w:ascii="Palatino Linotype" w:hAnsi="Palatino Linotype"/>
          <w:b/>
          <w:sz w:val="22"/>
          <w:szCs w:val="20"/>
          <w:lang w:val="en-CA"/>
        </w:rPr>
      </w:pPr>
      <w:r w:rsidRPr="008756E5">
        <w:rPr>
          <w:rFonts w:ascii="Palatino Linotype" w:hAnsi="Palatino Linotype"/>
          <w:b/>
          <w:sz w:val="22"/>
          <w:szCs w:val="20"/>
          <w:lang w:val="en-CA"/>
        </w:rPr>
        <w:t>What count as “health”?</w:t>
      </w:r>
    </w:p>
    <w:p w14:paraId="3EBE20A9" w14:textId="77777777" w:rsidR="008756E5" w:rsidRPr="008756E5" w:rsidRDefault="008756E5" w:rsidP="008756E5">
      <w:pPr>
        <w:rPr>
          <w:rFonts w:ascii="Palatino Linotype" w:hAnsi="Palatino Linotype"/>
          <w:b/>
          <w:sz w:val="22"/>
          <w:szCs w:val="20"/>
          <w:lang w:val="en-CA"/>
        </w:rPr>
      </w:pPr>
    </w:p>
    <w:p w14:paraId="61DB12C5"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Health norms include all </w:t>
      </w:r>
      <w:proofErr w:type="gramStart"/>
      <w:r w:rsidRPr="008756E5">
        <w:rPr>
          <w:rFonts w:ascii="Palatino Linotype" w:hAnsi="Palatino Linotype"/>
          <w:sz w:val="20"/>
          <w:lang w:val="en-CA"/>
        </w:rPr>
        <w:t>norms which</w:t>
      </w:r>
      <w:proofErr w:type="gramEnd"/>
      <w:r w:rsidRPr="008756E5">
        <w:rPr>
          <w:rFonts w:ascii="Palatino Linotype" w:hAnsi="Palatino Linotype"/>
          <w:sz w:val="20"/>
          <w:lang w:val="en-CA"/>
        </w:rPr>
        <w:t xml:space="preserve"> aim at protecting human health, or life, which is understood as a state of complete physical, mental and social well-being and not merely the absence of disease or infirmity (WHO definition). </w:t>
      </w:r>
    </w:p>
    <w:p w14:paraId="2C6C068E"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Norms can refer to health in a general or in a more specific way. General norms are </w:t>
      </w:r>
      <w:r w:rsidRPr="008756E5">
        <w:rPr>
          <w:rFonts w:ascii="Palatino Linotype" w:hAnsi="Palatino Linotype"/>
          <w:sz w:val="20"/>
          <w:lang w:val="en-CA"/>
        </w:rPr>
        <w:lastRenderedPageBreak/>
        <w:t xml:space="preserve">related to health in a broad way, including the survival of </w:t>
      </w:r>
      <w:proofErr w:type="gramStart"/>
      <w:r w:rsidRPr="008756E5">
        <w:rPr>
          <w:rFonts w:ascii="Palatino Linotype" w:hAnsi="Palatino Linotype"/>
          <w:sz w:val="20"/>
          <w:lang w:val="en-CA"/>
        </w:rPr>
        <w:t>mankind,</w:t>
      </w:r>
      <w:proofErr w:type="gramEnd"/>
      <w:r w:rsidRPr="008756E5">
        <w:rPr>
          <w:rFonts w:ascii="Palatino Linotype" w:hAnsi="Palatino Linotype"/>
          <w:sz w:val="20"/>
          <w:lang w:val="en-CA"/>
        </w:rPr>
        <w:t xml:space="preserve"> whereas specific ones apply to medical.</w:t>
      </w:r>
    </w:p>
    <w:p w14:paraId="47443A25"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Health can be referred to as, but not only, public health, human health, health of human being, human wellbeing, wellbeing of peoples, </w:t>
      </w:r>
      <w:proofErr w:type="gramStart"/>
      <w:r w:rsidRPr="008756E5">
        <w:rPr>
          <w:rFonts w:ascii="Palatino Linotype" w:hAnsi="Palatino Linotype"/>
          <w:sz w:val="20"/>
          <w:lang w:val="en-CA"/>
        </w:rPr>
        <w:t>threat</w:t>
      </w:r>
      <w:proofErr w:type="gramEnd"/>
      <w:r w:rsidRPr="008756E5">
        <w:rPr>
          <w:rFonts w:ascii="Palatino Linotype" w:hAnsi="Palatino Linotype"/>
          <w:sz w:val="20"/>
          <w:lang w:val="en-CA"/>
        </w:rPr>
        <w:t xml:space="preserve"> to humankind and adversely effects to humankind.</w:t>
      </w:r>
    </w:p>
    <w:p w14:paraId="1F777F00"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Excludes references to animal health except if it </w:t>
      </w:r>
      <w:proofErr w:type="gramStart"/>
      <w:r w:rsidRPr="008756E5">
        <w:rPr>
          <w:rFonts w:ascii="Palatino Linotype" w:hAnsi="Palatino Linotype"/>
          <w:sz w:val="20"/>
          <w:lang w:val="en-CA"/>
        </w:rPr>
        <w:t>is explicitly related</w:t>
      </w:r>
      <w:proofErr w:type="gramEnd"/>
      <w:r w:rsidRPr="008756E5">
        <w:rPr>
          <w:rFonts w:ascii="Palatino Linotype" w:hAnsi="Palatino Linotype"/>
          <w:sz w:val="20"/>
          <w:lang w:val="en-CA"/>
        </w:rPr>
        <w:t xml:space="preserve"> to human health. </w:t>
      </w:r>
    </w:p>
    <w:p w14:paraId="464FE982"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References to welfare are not sufficient to </w:t>
      </w:r>
      <w:proofErr w:type="gramStart"/>
      <w:r w:rsidRPr="008756E5">
        <w:rPr>
          <w:rFonts w:ascii="Palatino Linotype" w:hAnsi="Palatino Linotype"/>
          <w:sz w:val="20"/>
          <w:lang w:val="en-CA"/>
        </w:rPr>
        <w:t>be considered</w:t>
      </w:r>
      <w:proofErr w:type="gramEnd"/>
      <w:r w:rsidRPr="008756E5">
        <w:rPr>
          <w:rFonts w:ascii="Palatino Linotype" w:hAnsi="Palatino Linotype"/>
          <w:sz w:val="20"/>
          <w:lang w:val="en-CA"/>
        </w:rPr>
        <w:t xml:space="preserve"> as health norms.</w:t>
      </w:r>
    </w:p>
    <w:p w14:paraId="02BDF726"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 xml:space="preserve">Food supply is not automatically </w:t>
      </w:r>
      <w:proofErr w:type="gramStart"/>
      <w:r w:rsidRPr="008756E5">
        <w:rPr>
          <w:rFonts w:ascii="Palatino Linotype" w:hAnsi="Palatino Linotype"/>
          <w:sz w:val="20"/>
          <w:lang w:val="en-CA"/>
        </w:rPr>
        <w:t>an</w:t>
      </w:r>
      <w:proofErr w:type="gramEnd"/>
      <w:r w:rsidRPr="008756E5">
        <w:rPr>
          <w:rFonts w:ascii="Palatino Linotype" w:hAnsi="Palatino Linotype"/>
          <w:sz w:val="20"/>
          <w:lang w:val="en-CA"/>
        </w:rPr>
        <w:t xml:space="preserve"> health issue. </w:t>
      </w:r>
      <w:proofErr w:type="gramStart"/>
      <w:r w:rsidRPr="008756E5">
        <w:rPr>
          <w:rFonts w:ascii="Palatino Linotype" w:hAnsi="Palatino Linotype"/>
          <w:sz w:val="20"/>
          <w:lang w:val="en-CA"/>
        </w:rPr>
        <w:t>Must be related</w:t>
      </w:r>
      <w:proofErr w:type="gramEnd"/>
      <w:r w:rsidRPr="008756E5">
        <w:rPr>
          <w:rFonts w:ascii="Palatino Linotype" w:hAnsi="Palatino Linotype"/>
          <w:sz w:val="20"/>
          <w:lang w:val="en-CA"/>
        </w:rPr>
        <w:t xml:space="preserve"> to “healthy food” or human health.  References to nutritional aspects of a resource in general or references to a resource as a protein source </w:t>
      </w:r>
      <w:proofErr w:type="gramStart"/>
      <w:r w:rsidRPr="008756E5">
        <w:rPr>
          <w:rFonts w:ascii="Palatino Linotype" w:hAnsi="Palatino Linotype"/>
          <w:sz w:val="20"/>
          <w:lang w:val="en-CA"/>
        </w:rPr>
        <w:t>are considered</w:t>
      </w:r>
      <w:proofErr w:type="gramEnd"/>
      <w:r w:rsidRPr="008756E5">
        <w:rPr>
          <w:rFonts w:ascii="Palatino Linotype" w:hAnsi="Palatino Linotype"/>
          <w:sz w:val="20"/>
          <w:lang w:val="en-CA"/>
        </w:rPr>
        <w:t xml:space="preserve"> as a reference to health. </w:t>
      </w:r>
    </w:p>
    <w:p w14:paraId="4CBF14E4" w14:textId="77777777" w:rsidR="008756E5" w:rsidRPr="008756E5" w:rsidRDefault="008756E5" w:rsidP="008756E5">
      <w:pPr>
        <w:numPr>
          <w:ilvl w:val="0"/>
          <w:numId w:val="23"/>
        </w:numPr>
        <w:ind w:hanging="360"/>
        <w:jc w:val="both"/>
        <w:rPr>
          <w:rFonts w:ascii="Palatino Linotype" w:hAnsi="Palatino Linotype"/>
          <w:sz w:val="20"/>
          <w:lang w:val="en-CA"/>
        </w:rPr>
      </w:pPr>
      <w:r w:rsidRPr="008756E5">
        <w:rPr>
          <w:rFonts w:ascii="Palatino Linotype" w:hAnsi="Palatino Linotype"/>
          <w:sz w:val="20"/>
          <w:lang w:val="en-CA"/>
        </w:rPr>
        <w:t>Excludes references to sanitary measures or standards when not expressly related to human health.</w:t>
      </w:r>
    </w:p>
    <w:p w14:paraId="659F4629" w14:textId="10165F0B" w:rsidR="008756E5" w:rsidRDefault="008756E5">
      <w:pPr>
        <w:rPr>
          <w:rFonts w:ascii="Palatino Linotype" w:hAnsi="Palatino Linotype"/>
          <w:b/>
          <w:sz w:val="28"/>
          <w:szCs w:val="36"/>
          <w:lang w:val="en-CA"/>
        </w:rPr>
      </w:pPr>
    </w:p>
    <w:p w14:paraId="36F958C9" w14:textId="77777777" w:rsidR="0068042D" w:rsidRPr="007322E0" w:rsidRDefault="0068042D" w:rsidP="0068042D">
      <w:pPr>
        <w:pStyle w:val="titrenorme"/>
        <w:tabs>
          <w:tab w:val="left" w:pos="567"/>
        </w:tabs>
        <w:ind w:firstLine="0"/>
      </w:pPr>
      <w:bookmarkStart w:id="3" w:name="_Toc501098280"/>
      <w:bookmarkStart w:id="4" w:name="_Toc503952496"/>
      <w:r w:rsidRPr="007322E0">
        <w:t>Preamble</w:t>
      </w:r>
      <w:bookmarkEnd w:id="3"/>
      <w:bookmarkEnd w:id="4"/>
      <w:r w:rsidRPr="007322E0">
        <w:t xml:space="preserve"> </w:t>
      </w:r>
    </w:p>
    <w:p w14:paraId="16CFDFC7" w14:textId="77777777" w:rsidR="0068042D" w:rsidRPr="007322E0" w:rsidRDefault="0068042D" w:rsidP="0068042D">
      <w:pPr>
        <w:pStyle w:val="introduction"/>
        <w:ind w:left="567"/>
      </w:pPr>
      <w:r w:rsidRPr="007322E0">
        <w:t xml:space="preserve">Limited to the main preamble (in case chapters or sections have their own preamble). </w:t>
      </w:r>
    </w:p>
    <w:p w14:paraId="3FC89715" w14:textId="77777777" w:rsidR="0068042D" w:rsidRPr="007322E0" w:rsidRDefault="0068042D" w:rsidP="0068042D">
      <w:pPr>
        <w:pStyle w:val="introduction"/>
        <w:ind w:left="567"/>
      </w:pPr>
      <w:r w:rsidRPr="007322E0">
        <w:t>Includes references to agreements in the preamble.</w:t>
      </w:r>
    </w:p>
    <w:p w14:paraId="0D58C68A" w14:textId="77777777" w:rsidR="0068042D" w:rsidRDefault="0068042D" w:rsidP="0068042D">
      <w:pPr>
        <w:pStyle w:val="introduction"/>
        <w:ind w:left="567"/>
      </w:pPr>
      <w:r w:rsidRPr="007322E0">
        <w:t>Includes general and specific references.</w:t>
      </w:r>
    </w:p>
    <w:p w14:paraId="7E4F8D03" w14:textId="77777777" w:rsidR="00FA7323" w:rsidRPr="003C2BC9" w:rsidRDefault="00FA7323" w:rsidP="0091125C">
      <w:pPr>
        <w:jc w:val="both"/>
        <w:rPr>
          <w:rFonts w:ascii="Palatino Linotype" w:hAnsi="Palatino Linotype"/>
          <w:lang w:val="en-CA"/>
        </w:rPr>
      </w:pPr>
    </w:p>
    <w:p w14:paraId="4CE1A34D" w14:textId="7983B0BD" w:rsidR="00FA7323" w:rsidRPr="009A5786" w:rsidRDefault="008A0520" w:rsidP="0091125C">
      <w:pPr>
        <w:pStyle w:val="Titre2"/>
        <w:tabs>
          <w:tab w:val="clear" w:pos="1129"/>
          <w:tab w:val="left" w:pos="1134"/>
        </w:tabs>
        <w:contextualSpacing w:val="0"/>
        <w:rPr>
          <w:rFonts w:ascii="Palatino Linotype" w:hAnsi="Palatino Linotype"/>
          <w:sz w:val="22"/>
          <w:lang w:val="en-CA"/>
        </w:rPr>
      </w:pPr>
      <w:bookmarkStart w:id="5" w:name="_Toc503952497"/>
      <w:r w:rsidRPr="009A5786">
        <w:rPr>
          <w:rFonts w:ascii="Palatino Linotype" w:hAnsi="Palatino Linotype"/>
          <w:sz w:val="22"/>
          <w:lang w:val="en-CA"/>
        </w:rPr>
        <w:t xml:space="preserve">1.02 </w:t>
      </w:r>
      <w:r w:rsidR="0068042D">
        <w:rPr>
          <w:rFonts w:ascii="Palatino Linotype" w:hAnsi="Palatino Linotype"/>
          <w:sz w:val="22"/>
          <w:lang w:val="en-CA"/>
        </w:rPr>
        <w:t xml:space="preserve">  </w:t>
      </w:r>
      <w:r w:rsidRPr="009A5786">
        <w:rPr>
          <w:rFonts w:ascii="Palatino Linotype" w:hAnsi="Palatino Linotype"/>
          <w:sz w:val="22"/>
          <w:lang w:val="en-CA"/>
        </w:rPr>
        <w:t>Preamble refers to human health</w:t>
      </w:r>
      <w:bookmarkEnd w:id="5"/>
      <w:r w:rsidRPr="009A5786">
        <w:rPr>
          <w:rFonts w:ascii="Palatino Linotype" w:hAnsi="Palatino Linotype"/>
          <w:sz w:val="22"/>
          <w:lang w:val="en-CA"/>
        </w:rPr>
        <w:t xml:space="preserve"> </w:t>
      </w:r>
    </w:p>
    <w:p w14:paraId="0041654E" w14:textId="77777777" w:rsidR="0048145D" w:rsidRPr="00722C4D" w:rsidRDefault="0048145D" w:rsidP="0048145D">
      <w:pPr>
        <w:pStyle w:val="textenorme"/>
        <w:ind w:left="993" w:hanging="426"/>
      </w:pPr>
      <w:bookmarkStart w:id="6" w:name="_1t3h5sf" w:colFirst="0" w:colLast="0"/>
      <w:bookmarkEnd w:id="6"/>
      <w:r w:rsidRPr="00722C4D">
        <w:t>Includes general references to health.</w:t>
      </w:r>
    </w:p>
    <w:p w14:paraId="67D81DBA" w14:textId="77777777" w:rsidR="0048145D" w:rsidRPr="00722C4D" w:rsidRDefault="0048145D" w:rsidP="0048145D">
      <w:pPr>
        <w:pStyle w:val="textenorme"/>
        <w:ind w:left="993" w:hanging="426"/>
      </w:pPr>
      <w:r w:rsidRPr="00722C4D">
        <w:t>Includes more specific reference</w:t>
      </w:r>
      <w:r>
        <w:t>s</w:t>
      </w:r>
      <w:r w:rsidRPr="00722C4D">
        <w:t xml:space="preserve"> to survival of </w:t>
      </w:r>
      <w:proofErr w:type="gramStart"/>
      <w:r w:rsidRPr="00722C4D">
        <w:t>mankind,</w:t>
      </w:r>
      <w:proofErr w:type="gramEnd"/>
      <w:r w:rsidRPr="00722C4D">
        <w:t xml:space="preserve"> public health, human health, health of human being, human wellbeing, wellbeing of peoples, threat to humankind, etc. </w:t>
      </w:r>
    </w:p>
    <w:p w14:paraId="68F951D8" w14:textId="77777777" w:rsidR="0048145D" w:rsidRPr="00722C4D" w:rsidRDefault="0048145D" w:rsidP="0048145D">
      <w:pPr>
        <w:pStyle w:val="textenorme"/>
        <w:ind w:left="993" w:hanging="426"/>
      </w:pPr>
      <w:r w:rsidRPr="00722C4D">
        <w:t xml:space="preserve">Includes references to WHO and other international organizations dealing with health. </w:t>
      </w:r>
    </w:p>
    <w:p w14:paraId="3FC5BB90" w14:textId="77777777" w:rsidR="0048145D" w:rsidRPr="00722C4D" w:rsidRDefault="0048145D" w:rsidP="0048145D">
      <w:pPr>
        <w:pStyle w:val="textenorme"/>
        <w:ind w:left="993" w:hanging="426"/>
      </w:pPr>
      <w:r w:rsidRPr="00722C4D">
        <w:t xml:space="preserve">Excludes references to welfare, sanitary measures or standards if not explicitly related to human health. </w:t>
      </w:r>
    </w:p>
    <w:p w14:paraId="1FB952F7" w14:textId="77777777" w:rsidR="0048145D" w:rsidRPr="00CD13C4" w:rsidRDefault="0048145D" w:rsidP="0048145D">
      <w:pPr>
        <w:pStyle w:val="exemplenorme"/>
        <w:ind w:left="993"/>
      </w:pPr>
      <w:r w:rsidRPr="00CD13C4">
        <w:t>1989 Basel Convention, preamble: “Aware of the risk of damage to human health and the environment caused by hazardous wastes and other wastes and the transboundary movement thereof.”</w:t>
      </w:r>
    </w:p>
    <w:p w14:paraId="23B0846E" w14:textId="77777777" w:rsidR="0048145D" w:rsidRPr="00CD13C4" w:rsidRDefault="0048145D" w:rsidP="0048145D">
      <w:pPr>
        <w:pStyle w:val="exemplenorme"/>
        <w:ind w:left="993"/>
      </w:pPr>
      <w:proofErr w:type="gramStart"/>
      <w:r w:rsidRPr="00CD13C4">
        <w:t>2009</w:t>
      </w:r>
      <w:proofErr w:type="gramEnd"/>
      <w:r w:rsidRPr="00CD13C4">
        <w:t xml:space="preserve"> International Convention for the Safe and Environmentally Sound Recycling of Ships, preamble: “Noting also the role of the International </w:t>
      </w:r>
      <w:proofErr w:type="spellStart"/>
      <w:r w:rsidRPr="00CD13C4">
        <w:t>Labour</w:t>
      </w:r>
      <w:proofErr w:type="spellEnd"/>
      <w:r w:rsidRPr="00CD13C4">
        <w:t xml:space="preserve"> Organization in protecting the occupational safety and health of workers involved in ship recycling.”</w:t>
      </w:r>
    </w:p>
    <w:p w14:paraId="40DA25F1" w14:textId="77777777" w:rsidR="00FA7323" w:rsidRPr="0048145D" w:rsidRDefault="00FA7323" w:rsidP="0091125C">
      <w:pPr>
        <w:ind w:left="851"/>
        <w:jc w:val="both"/>
        <w:rPr>
          <w:rFonts w:ascii="Palatino Linotype" w:hAnsi="Palatino Linotype"/>
          <w:lang w:val="en-US"/>
        </w:rPr>
      </w:pPr>
    </w:p>
    <w:p w14:paraId="60C12F11" w14:textId="57C49550" w:rsidR="0068042D" w:rsidRDefault="0068042D">
      <w:pPr>
        <w:rPr>
          <w:rFonts w:ascii="Palatino Linotype" w:hAnsi="Palatino Linotype"/>
          <w:b/>
          <w:sz w:val="28"/>
          <w:szCs w:val="36"/>
          <w:lang w:val="en-CA"/>
        </w:rPr>
      </w:pPr>
    </w:p>
    <w:p w14:paraId="3125839C" w14:textId="41FA02D0" w:rsidR="00FA7323" w:rsidRPr="009A5786" w:rsidRDefault="008A0520" w:rsidP="00796341">
      <w:pPr>
        <w:pStyle w:val="titrenorme"/>
        <w:tabs>
          <w:tab w:val="left" w:pos="567"/>
        </w:tabs>
        <w:ind w:firstLine="0"/>
      </w:pPr>
      <w:bookmarkStart w:id="7" w:name="_Toc503952498"/>
      <w:r w:rsidRPr="009A5786">
        <w:t>Factual or causal beliefs</w:t>
      </w:r>
      <w:bookmarkEnd w:id="7"/>
    </w:p>
    <w:p w14:paraId="0736C527" w14:textId="77777777" w:rsidR="00FA7323" w:rsidRPr="009A5786" w:rsidRDefault="008A0520" w:rsidP="00796341">
      <w:pPr>
        <w:ind w:left="567"/>
        <w:contextualSpacing/>
        <w:jc w:val="both"/>
        <w:rPr>
          <w:rFonts w:ascii="Palatino Linotype" w:hAnsi="Palatino Linotype"/>
          <w:sz w:val="22"/>
          <w:lang w:val="en-CA"/>
        </w:rPr>
      </w:pPr>
      <w:r w:rsidRPr="009A5786">
        <w:rPr>
          <w:rFonts w:ascii="Palatino Linotype" w:hAnsi="Palatino Linotype"/>
          <w:sz w:val="20"/>
          <w:szCs w:val="22"/>
          <w:lang w:val="en-CA"/>
        </w:rPr>
        <w:t>Includes only causal claims (is, are…), not normative claims (should, could, must…). See section 3.</w:t>
      </w:r>
    </w:p>
    <w:p w14:paraId="5B361599" w14:textId="77777777" w:rsidR="00FA7323" w:rsidRPr="009A5786" w:rsidRDefault="008A0520" w:rsidP="00796341">
      <w:pPr>
        <w:ind w:left="567"/>
        <w:contextualSpacing/>
        <w:jc w:val="both"/>
        <w:rPr>
          <w:rFonts w:ascii="Palatino Linotype" w:hAnsi="Palatino Linotype"/>
          <w:sz w:val="22"/>
          <w:lang w:val="en-CA"/>
        </w:rPr>
      </w:pPr>
      <w:r w:rsidRPr="009A5786">
        <w:rPr>
          <w:rFonts w:ascii="Palatino Linotype" w:hAnsi="Palatino Linotype"/>
          <w:sz w:val="20"/>
          <w:szCs w:val="22"/>
          <w:lang w:val="en-CA"/>
        </w:rPr>
        <w:t xml:space="preserve">If action from a Party is required, it generally goes beyond a simple causal belief and </w:t>
      </w:r>
      <w:proofErr w:type="gramStart"/>
      <w:r w:rsidRPr="009A5786">
        <w:rPr>
          <w:rFonts w:ascii="Palatino Linotype" w:hAnsi="Palatino Linotype"/>
          <w:sz w:val="20"/>
          <w:szCs w:val="22"/>
          <w:lang w:val="en-CA"/>
        </w:rPr>
        <w:t>should be excluded</w:t>
      </w:r>
      <w:proofErr w:type="gramEnd"/>
      <w:r w:rsidRPr="009A5786">
        <w:rPr>
          <w:rFonts w:ascii="Palatino Linotype" w:hAnsi="Palatino Linotype"/>
          <w:sz w:val="20"/>
          <w:szCs w:val="22"/>
          <w:lang w:val="en-CA"/>
        </w:rPr>
        <w:t>. For instance, when the parties are required to cooperate in trade matters to make trade compatible with environmental protection, it means that trade does not automatically contribute to environmental protection.</w:t>
      </w:r>
    </w:p>
    <w:p w14:paraId="44E783C5" w14:textId="77777777" w:rsidR="00FA7323" w:rsidRPr="009A5786" w:rsidRDefault="008A0520" w:rsidP="00796341">
      <w:pPr>
        <w:ind w:left="567"/>
        <w:contextualSpacing/>
        <w:jc w:val="both"/>
        <w:rPr>
          <w:rFonts w:ascii="Palatino Linotype" w:hAnsi="Palatino Linotype"/>
          <w:sz w:val="22"/>
          <w:lang w:val="en-CA"/>
        </w:rPr>
      </w:pPr>
      <w:r w:rsidRPr="009A5786">
        <w:rPr>
          <w:rFonts w:ascii="Palatino Linotype" w:hAnsi="Palatino Linotype"/>
          <w:sz w:val="20"/>
          <w:szCs w:val="22"/>
          <w:lang w:val="en-CA"/>
        </w:rPr>
        <w:t>Not limited t</w:t>
      </w:r>
      <w:r w:rsidR="001B44B2" w:rsidRPr="009A5786">
        <w:rPr>
          <w:rFonts w:ascii="Palatino Linotype" w:hAnsi="Palatino Linotype"/>
          <w:sz w:val="20"/>
          <w:szCs w:val="22"/>
          <w:lang w:val="en-CA"/>
        </w:rPr>
        <w:t xml:space="preserve">o the main preamble. Norms </w:t>
      </w:r>
      <w:proofErr w:type="gramStart"/>
      <w:r w:rsidR="001B44B2" w:rsidRPr="009A5786">
        <w:rPr>
          <w:rFonts w:ascii="Palatino Linotype" w:hAnsi="Palatino Linotype"/>
          <w:sz w:val="20"/>
          <w:szCs w:val="22"/>
          <w:lang w:val="en-CA"/>
        </w:rPr>
        <w:t>can</w:t>
      </w:r>
      <w:r w:rsidRPr="009A5786">
        <w:rPr>
          <w:rFonts w:ascii="Palatino Linotype" w:hAnsi="Palatino Linotype"/>
          <w:sz w:val="20"/>
          <w:szCs w:val="22"/>
          <w:lang w:val="en-CA"/>
        </w:rPr>
        <w:t xml:space="preserve"> be found</w:t>
      </w:r>
      <w:proofErr w:type="gramEnd"/>
      <w:r w:rsidRPr="009A5786">
        <w:rPr>
          <w:rFonts w:ascii="Palatino Linotype" w:hAnsi="Palatino Linotype"/>
          <w:sz w:val="20"/>
          <w:szCs w:val="22"/>
          <w:lang w:val="en-CA"/>
        </w:rPr>
        <w:t xml:space="preserve"> in the entire text of the agreement.</w:t>
      </w:r>
    </w:p>
    <w:p w14:paraId="4061EFDF" w14:textId="77777777" w:rsidR="00FA7323" w:rsidRPr="009A5786" w:rsidRDefault="00FA7323" w:rsidP="0091125C">
      <w:pPr>
        <w:rPr>
          <w:rFonts w:ascii="Palatino Linotype" w:hAnsi="Palatino Linotype"/>
          <w:sz w:val="22"/>
          <w:lang w:val="en-CA"/>
        </w:rPr>
      </w:pPr>
    </w:p>
    <w:p w14:paraId="083C1010" w14:textId="1C1BCBD5" w:rsidR="00FA7323" w:rsidRPr="009A5786" w:rsidRDefault="008A0520" w:rsidP="0091125C">
      <w:pPr>
        <w:pStyle w:val="Titre2"/>
        <w:tabs>
          <w:tab w:val="clear" w:pos="1129"/>
          <w:tab w:val="left" w:pos="1134"/>
        </w:tabs>
        <w:contextualSpacing w:val="0"/>
        <w:rPr>
          <w:rFonts w:ascii="Palatino Linotype" w:hAnsi="Palatino Linotype"/>
          <w:sz w:val="22"/>
          <w:lang w:val="en-CA"/>
        </w:rPr>
      </w:pPr>
      <w:bookmarkStart w:id="8" w:name="_Toc503952499"/>
      <w:r w:rsidRPr="009A5786">
        <w:rPr>
          <w:rFonts w:ascii="Palatino Linotype" w:hAnsi="Palatino Linotype"/>
          <w:sz w:val="22"/>
          <w:lang w:val="en-CA"/>
        </w:rPr>
        <w:t xml:space="preserve">2.06 </w:t>
      </w:r>
      <w:r w:rsidR="00796341">
        <w:rPr>
          <w:rFonts w:ascii="Palatino Linotype" w:hAnsi="Palatino Linotype"/>
          <w:sz w:val="22"/>
          <w:lang w:val="en-CA"/>
        </w:rPr>
        <w:t xml:space="preserve">  </w:t>
      </w:r>
      <w:r w:rsidRPr="009A5786">
        <w:rPr>
          <w:rFonts w:ascii="Palatino Linotype" w:hAnsi="Palatino Linotype"/>
          <w:sz w:val="22"/>
          <w:lang w:val="en-CA"/>
        </w:rPr>
        <w:t>Importance of a resource for human health</w:t>
      </w:r>
      <w:bookmarkEnd w:id="8"/>
    </w:p>
    <w:p w14:paraId="298BBACD" w14:textId="77777777" w:rsidR="00796341" w:rsidRDefault="00796341" w:rsidP="00796341">
      <w:pPr>
        <w:pStyle w:val="textenorme"/>
        <w:ind w:left="993" w:hanging="426"/>
      </w:pPr>
      <w:r>
        <w:t>Includes provisions that mention the importance of a resource to human health, public health, the survival of humankind, etc.</w:t>
      </w:r>
    </w:p>
    <w:p w14:paraId="708A0EA8" w14:textId="77777777" w:rsidR="00796341" w:rsidRDefault="00796341" w:rsidP="00796341">
      <w:pPr>
        <w:pStyle w:val="textenorme"/>
        <w:ind w:left="993" w:hanging="426"/>
      </w:pPr>
      <w:r>
        <w:lastRenderedPageBreak/>
        <w:t>Includes references to nutritional importance or value of a resource, to the nutritional needs of a population or to the importance of a resource as a protein source.</w:t>
      </w:r>
    </w:p>
    <w:p w14:paraId="7B61281B" w14:textId="77777777" w:rsidR="00796341" w:rsidRDefault="00796341" w:rsidP="00796341">
      <w:pPr>
        <w:pStyle w:val="textenorme"/>
        <w:ind w:left="993" w:hanging="426"/>
      </w:pPr>
      <w:r>
        <w:t>Resources include natural, biological and genetic resources as well as genetically modified resources.</w:t>
      </w:r>
    </w:p>
    <w:p w14:paraId="594C955C" w14:textId="77777777" w:rsidR="00796341" w:rsidRDefault="00796341" w:rsidP="00796341">
      <w:pPr>
        <w:pStyle w:val="textenorme"/>
        <w:ind w:left="993" w:hanging="426"/>
      </w:pPr>
      <w:r>
        <w:t xml:space="preserve">Excludes provisions that mention the importance of a resource for food supply or security without mention of health. </w:t>
      </w:r>
    </w:p>
    <w:p w14:paraId="6A0AC682" w14:textId="77777777" w:rsidR="00796341" w:rsidRDefault="00796341" w:rsidP="00796341">
      <w:pPr>
        <w:pStyle w:val="textenorme"/>
        <w:ind w:left="993" w:hanging="426"/>
      </w:pPr>
      <w:r>
        <w:t>Excludes human resources.</w:t>
      </w:r>
    </w:p>
    <w:p w14:paraId="0CC180BD" w14:textId="77777777" w:rsidR="00796341" w:rsidRDefault="00796341" w:rsidP="00796341">
      <w:pPr>
        <w:pStyle w:val="exemplenorme"/>
        <w:ind w:left="993"/>
      </w:pPr>
      <w:r>
        <w:t>2010 Nagoya Protocol on Access to Genetic Resources and their Fair and Equitable Sharing of Benefits Arising from their Utilization to the Convention on Biological Diversity, preamble: “Recognizing the importance of genetic resources to food security, public health, […].”</w:t>
      </w:r>
    </w:p>
    <w:p w14:paraId="7674865C" w14:textId="2E1D9F51" w:rsidR="00796341" w:rsidRPr="00796341" w:rsidRDefault="00796341" w:rsidP="00796341">
      <w:pPr>
        <w:pStyle w:val="exemplenorme"/>
        <w:ind w:left="993"/>
        <w:rPr>
          <w:lang w:val="fr-CA"/>
        </w:rPr>
      </w:pPr>
      <w:r w:rsidRPr="00796341">
        <w:rPr>
          <w:lang w:val="fr-CA"/>
        </w:rPr>
        <w:t>1985 Convention Portant Création De La Commission Sous Région</w:t>
      </w:r>
      <w:r>
        <w:rPr>
          <w:lang w:val="fr-CA"/>
        </w:rPr>
        <w:t xml:space="preserve">ale Des Pêches, </w:t>
      </w:r>
      <w:proofErr w:type="spellStart"/>
      <w:r>
        <w:rPr>
          <w:lang w:val="fr-CA"/>
        </w:rPr>
        <w:t>preamble</w:t>
      </w:r>
      <w:proofErr w:type="spellEnd"/>
      <w:r>
        <w:rPr>
          <w:lang w:val="fr-CA"/>
        </w:rPr>
        <w:t>: “ </w:t>
      </w:r>
      <w:r w:rsidRPr="00796341">
        <w:rPr>
          <w:lang w:val="fr-CA"/>
        </w:rPr>
        <w:t>[…] reconnaissant les possibilités qu'offre l'exploitation rationnelle des ressources halieutiques pour développer leurs économies et satisfaire les besoins nutritionnels de leurs populations.”</w:t>
      </w:r>
    </w:p>
    <w:p w14:paraId="50F310A1" w14:textId="77777777" w:rsidR="00FA7323" w:rsidRPr="003C2BC9" w:rsidRDefault="00FA7323" w:rsidP="0091125C">
      <w:pPr>
        <w:rPr>
          <w:rFonts w:ascii="Palatino Linotype" w:hAnsi="Palatino Linotype"/>
        </w:rPr>
      </w:pPr>
    </w:p>
    <w:p w14:paraId="38F30C40" w14:textId="38613870" w:rsidR="002B1A77" w:rsidRPr="002B1A77" w:rsidRDefault="008A0520" w:rsidP="002B1A77">
      <w:pPr>
        <w:pStyle w:val="Titre2"/>
        <w:contextualSpacing w:val="0"/>
        <w:rPr>
          <w:rFonts w:ascii="Palatino Linotype" w:hAnsi="Palatino Linotype"/>
          <w:sz w:val="22"/>
          <w:lang w:val="en-CA"/>
        </w:rPr>
      </w:pPr>
      <w:r w:rsidRPr="008D6BCF">
        <w:rPr>
          <w:rFonts w:ascii="Palatino Linotype" w:hAnsi="Palatino Linotype"/>
          <w:sz w:val="22"/>
        </w:rPr>
        <w:t xml:space="preserve"> </w:t>
      </w:r>
      <w:bookmarkStart w:id="9" w:name="_Toc501098290"/>
      <w:bookmarkStart w:id="10" w:name="_Toc503952500"/>
      <w:r w:rsidR="002B1A77">
        <w:rPr>
          <w:rFonts w:ascii="Palatino Linotype" w:hAnsi="Palatino Linotype"/>
          <w:sz w:val="22"/>
          <w:lang w:val="en-CA"/>
        </w:rPr>
        <w:t xml:space="preserve">2.07   </w:t>
      </w:r>
      <w:r w:rsidR="002B1A77" w:rsidRPr="002B1A77">
        <w:rPr>
          <w:rFonts w:ascii="Palatino Linotype" w:hAnsi="Palatino Linotype"/>
          <w:sz w:val="22"/>
          <w:lang w:val="en-CA"/>
        </w:rPr>
        <w:t>Substance or activity considered dangerous to human health</w:t>
      </w:r>
      <w:bookmarkEnd w:id="9"/>
      <w:bookmarkEnd w:id="10"/>
    </w:p>
    <w:p w14:paraId="5F29D208" w14:textId="77777777" w:rsidR="002B1A77" w:rsidRDefault="002B1A77" w:rsidP="002B1A77">
      <w:pPr>
        <w:pStyle w:val="textenorme"/>
        <w:tabs>
          <w:tab w:val="clear" w:pos="1134"/>
          <w:tab w:val="left" w:pos="1701"/>
        </w:tabs>
        <w:ind w:left="993" w:hanging="426"/>
      </w:pPr>
      <w:r>
        <w:t>Includes any association, established or suspected, between a substance or an activity and detrimental health effect, or detrimental effect on the survival of humankind.</w:t>
      </w:r>
    </w:p>
    <w:p w14:paraId="626B747D" w14:textId="77777777" w:rsidR="002B1A77" w:rsidRDefault="002B1A77" w:rsidP="002B1A77">
      <w:pPr>
        <w:pStyle w:val="textenorme"/>
        <w:tabs>
          <w:tab w:val="clear" w:pos="1134"/>
          <w:tab w:val="left" w:pos="1701"/>
        </w:tabs>
        <w:ind w:left="993" w:hanging="426"/>
      </w:pPr>
      <w:r>
        <w:t xml:space="preserve">Includes definitions of substances or activities that </w:t>
      </w:r>
      <w:proofErr w:type="gramStart"/>
      <w:r>
        <w:t>are recognized</w:t>
      </w:r>
      <w:proofErr w:type="gramEnd"/>
      <w:r>
        <w:t xml:space="preserve"> to affect human health.</w:t>
      </w:r>
    </w:p>
    <w:p w14:paraId="4F60DBB7" w14:textId="77777777" w:rsidR="002B1A77" w:rsidRDefault="002B1A77" w:rsidP="002B1A77">
      <w:pPr>
        <w:pStyle w:val="textenorme"/>
        <w:tabs>
          <w:tab w:val="clear" w:pos="1134"/>
          <w:tab w:val="left" w:pos="1701"/>
        </w:tabs>
        <w:ind w:left="993" w:hanging="426"/>
      </w:pPr>
      <w:r>
        <w:t xml:space="preserve">Includes provisions that recognize that a substance or activity affects negatively human health. </w:t>
      </w:r>
    </w:p>
    <w:p w14:paraId="51D9E26E" w14:textId="77777777" w:rsidR="002B1A77" w:rsidRDefault="002B1A77" w:rsidP="002B1A77">
      <w:pPr>
        <w:pStyle w:val="textenorme"/>
        <w:tabs>
          <w:tab w:val="clear" w:pos="1134"/>
          <w:tab w:val="left" w:pos="1701"/>
        </w:tabs>
        <w:ind w:left="993" w:hanging="426"/>
      </w:pPr>
      <w:r>
        <w:t xml:space="preserve">Is considered an activity any human action that may or has an impact on the environment. Can be an individual action or a collective action, such as smoking or transport of hazardous waste. </w:t>
      </w:r>
    </w:p>
    <w:p w14:paraId="2ED085D5" w14:textId="77777777" w:rsidR="002B1A77" w:rsidRDefault="002B1A77" w:rsidP="002B1A77">
      <w:pPr>
        <w:pStyle w:val="textenorme"/>
        <w:tabs>
          <w:tab w:val="clear" w:pos="1134"/>
          <w:tab w:val="left" w:pos="1701"/>
        </w:tabs>
        <w:ind w:left="993" w:hanging="426"/>
      </w:pPr>
      <w:r>
        <w:t xml:space="preserve">Excludes any actions that </w:t>
      </w:r>
      <w:proofErr w:type="gramStart"/>
      <w:r>
        <w:t>are not posed</w:t>
      </w:r>
      <w:proofErr w:type="gramEnd"/>
      <w:r>
        <w:t xml:space="preserve"> by humans, such as natural disaster.</w:t>
      </w:r>
    </w:p>
    <w:p w14:paraId="10AAF720" w14:textId="77777777" w:rsidR="002B1A77" w:rsidRDefault="002B1A77" w:rsidP="002B1A77">
      <w:pPr>
        <w:pStyle w:val="textenorme"/>
        <w:tabs>
          <w:tab w:val="clear" w:pos="1134"/>
          <w:tab w:val="left" w:pos="1701"/>
        </w:tabs>
        <w:ind w:left="993" w:hanging="426"/>
      </w:pPr>
      <w:r>
        <w:t xml:space="preserve">The recognition that a substance is hazardous is not </w:t>
      </w:r>
      <w:proofErr w:type="gramStart"/>
      <w:r>
        <w:t>sufficient,</w:t>
      </w:r>
      <w:proofErr w:type="gramEnd"/>
      <w:r>
        <w:t xml:space="preserve"> it must be hazardous for human health.</w:t>
      </w:r>
    </w:p>
    <w:p w14:paraId="09D749B1" w14:textId="77777777" w:rsidR="002B1A77" w:rsidRDefault="002B1A77" w:rsidP="002B1A77">
      <w:pPr>
        <w:pStyle w:val="textenorme"/>
        <w:tabs>
          <w:tab w:val="clear" w:pos="1134"/>
          <w:tab w:val="left" w:pos="1701"/>
        </w:tabs>
        <w:ind w:left="993" w:hanging="426"/>
      </w:pPr>
      <w:r>
        <w:t>Excludes any other definitions of substances or activities that do not indicate harmfulness of the said substances to human health.</w:t>
      </w:r>
    </w:p>
    <w:p w14:paraId="2332AE38" w14:textId="77777777" w:rsidR="002B1A77" w:rsidRDefault="002B1A77" w:rsidP="002B1A77">
      <w:pPr>
        <w:pStyle w:val="textenorme"/>
        <w:tabs>
          <w:tab w:val="clear" w:pos="1134"/>
          <w:tab w:val="left" w:pos="1701"/>
        </w:tabs>
        <w:ind w:left="993" w:hanging="426"/>
      </w:pPr>
      <w:r>
        <w:t>Compelling Parties to do research on the effects of a substance or activity on human health is not sufficient.</w:t>
      </w:r>
    </w:p>
    <w:p w14:paraId="6A52668B" w14:textId="77777777" w:rsidR="002B1A77" w:rsidRDefault="002B1A77" w:rsidP="002B1A77">
      <w:pPr>
        <w:pStyle w:val="exemplenorme"/>
        <w:ind w:left="993"/>
      </w:pPr>
      <w:r>
        <w:t>1978 Agreement on Great Lakes Water Quality, art. 1(j):”"</w:t>
      </w:r>
      <w:proofErr w:type="gramStart"/>
      <w:r>
        <w:t>Hazardous polluting</w:t>
      </w:r>
      <w:proofErr w:type="gramEnd"/>
      <w:r>
        <w:t xml:space="preserve"> substance" means any element or compound identified by the Parties which, if discharged in any quantity into or upon receiving waters or adjoining shorelines, would present an imminent and substantial danger to public health or welfare […].”</w:t>
      </w:r>
    </w:p>
    <w:p w14:paraId="08F6049A" w14:textId="0B11E0C7" w:rsidR="0021527D" w:rsidRDefault="002B1A77" w:rsidP="002B1A77">
      <w:pPr>
        <w:pStyle w:val="exemplenorme"/>
        <w:ind w:left="993"/>
      </w:pPr>
      <w:r>
        <w:t xml:space="preserve">2013 </w:t>
      </w:r>
      <w:proofErr w:type="spellStart"/>
      <w:r>
        <w:t>Minamata</w:t>
      </w:r>
      <w:proofErr w:type="spellEnd"/>
      <w:r>
        <w:t xml:space="preserve"> Convention, preamble: “Aware of the health concerns, especially in developing countries, resulting from exposure to mercury […].”</w:t>
      </w:r>
    </w:p>
    <w:p w14:paraId="47E8DEF3" w14:textId="77777777" w:rsidR="00492362" w:rsidRPr="002B1A77" w:rsidRDefault="00492362" w:rsidP="002B1A77">
      <w:pPr>
        <w:pStyle w:val="exemplenorme"/>
        <w:ind w:left="993"/>
      </w:pPr>
    </w:p>
    <w:p w14:paraId="3A3BEE27" w14:textId="1A7116BD" w:rsidR="008D6BCF" w:rsidRDefault="008D6BCF" w:rsidP="008D6BCF">
      <w:pPr>
        <w:pStyle w:val="titrenorme"/>
        <w:numPr>
          <w:ilvl w:val="0"/>
          <w:numId w:val="0"/>
        </w:numPr>
        <w:tabs>
          <w:tab w:val="left" w:pos="567"/>
        </w:tabs>
      </w:pPr>
      <w:bookmarkStart w:id="11" w:name="_Toc503952501"/>
      <w:r>
        <w:t>3.</w:t>
      </w:r>
      <w:r>
        <w:tab/>
      </w:r>
      <w:bookmarkStart w:id="12" w:name="_Toc501098292"/>
      <w:r>
        <w:t>Principles</w:t>
      </w:r>
      <w:bookmarkEnd w:id="11"/>
      <w:bookmarkEnd w:id="12"/>
    </w:p>
    <w:p w14:paraId="282C1EF1" w14:textId="77777777" w:rsidR="008D6BCF" w:rsidRDefault="008D6BCF" w:rsidP="008D6BCF">
      <w:pPr>
        <w:pStyle w:val="introduction"/>
        <w:ind w:left="567"/>
      </w:pPr>
      <w:r w:rsidRPr="00EE610E">
        <w:t>Not limited to the main preamble.</w:t>
      </w:r>
    </w:p>
    <w:p w14:paraId="1F4867FC" w14:textId="77777777" w:rsidR="00FA7323" w:rsidRPr="0042441E" w:rsidRDefault="00FA7323" w:rsidP="0091125C">
      <w:pPr>
        <w:rPr>
          <w:rFonts w:ascii="Palatino Linotype" w:hAnsi="Palatino Linotype"/>
          <w:sz w:val="22"/>
          <w:lang w:val="en-CA"/>
        </w:rPr>
      </w:pPr>
    </w:p>
    <w:p w14:paraId="46FC2DC3" w14:textId="5B3C0D6D" w:rsidR="008D6BCF" w:rsidRDefault="008D6BCF" w:rsidP="008D6BCF">
      <w:pPr>
        <w:pStyle w:val="titresousnormedites"/>
      </w:pPr>
      <w:bookmarkStart w:id="13" w:name="_Toc501098294"/>
      <w:bookmarkStart w:id="14" w:name="_Toc503952502"/>
      <w:r>
        <w:t>3.02   Protection of human health as one of the objectives of the agreement</w:t>
      </w:r>
      <w:bookmarkEnd w:id="13"/>
      <w:bookmarkEnd w:id="14"/>
    </w:p>
    <w:p w14:paraId="5374780B" w14:textId="77777777" w:rsidR="008D6BCF" w:rsidRDefault="008D6BCF" w:rsidP="008D6BCF">
      <w:pPr>
        <w:pStyle w:val="textenorme"/>
        <w:ind w:left="993" w:hanging="426"/>
      </w:pPr>
      <w:r>
        <w:t>Must be clear that it is one of the objectives of the agreement.</w:t>
      </w:r>
    </w:p>
    <w:p w14:paraId="362E0E8C" w14:textId="77777777" w:rsidR="008D6BCF" w:rsidRDefault="008D6BCF" w:rsidP="008D6BCF">
      <w:pPr>
        <w:pStyle w:val="textenorme"/>
        <w:ind w:left="993" w:hanging="426"/>
      </w:pPr>
      <w:r>
        <w:t>As always, can be in the preamble or not.</w:t>
      </w:r>
    </w:p>
    <w:p w14:paraId="1FF0CE74" w14:textId="77777777" w:rsidR="008D6BCF" w:rsidRDefault="008D6BCF" w:rsidP="008D6BCF">
      <w:pPr>
        <w:pStyle w:val="textenorme"/>
        <w:ind w:left="993" w:hanging="426"/>
      </w:pPr>
      <w:r>
        <w:t>Included if the agreement has no ‘list of objectives’ but the health objective is stated somewhere in the agreement.</w:t>
      </w:r>
    </w:p>
    <w:p w14:paraId="742CF774" w14:textId="77777777" w:rsidR="008D6BCF" w:rsidRDefault="008D6BCF" w:rsidP="008D6BCF">
      <w:pPr>
        <w:pStyle w:val="textenorme"/>
        <w:ind w:left="993" w:hanging="426"/>
      </w:pPr>
      <w:r>
        <w:lastRenderedPageBreak/>
        <w:t>Excludes statements simply expressing a concern about human health, or compelling the Parties to take measures to protect human health.</w:t>
      </w:r>
    </w:p>
    <w:p w14:paraId="7C1E09A2" w14:textId="77777777" w:rsidR="008D6BCF" w:rsidRDefault="008D6BCF" w:rsidP="008D6BCF">
      <w:pPr>
        <w:pStyle w:val="textenorme"/>
        <w:ind w:left="993" w:hanging="426"/>
      </w:pPr>
      <w:r>
        <w:t>A mere reference to international health standards or to other health agreements is not sufficient (see 1.02 or 14).</w:t>
      </w:r>
    </w:p>
    <w:p w14:paraId="27648CA8" w14:textId="77777777" w:rsidR="008D6BCF" w:rsidRDefault="008D6BCF" w:rsidP="008D6BCF">
      <w:pPr>
        <w:pStyle w:val="exemplenorme"/>
        <w:ind w:left="993"/>
      </w:pPr>
      <w:r>
        <w:t xml:space="preserve">2013 </w:t>
      </w:r>
      <w:proofErr w:type="spellStart"/>
      <w:r>
        <w:t>Minamata</w:t>
      </w:r>
      <w:proofErr w:type="spellEnd"/>
      <w:r>
        <w:t xml:space="preserve"> Convention on Mercury, art. </w:t>
      </w:r>
      <w:proofErr w:type="gramStart"/>
      <w:r>
        <w:t>1</w:t>
      </w:r>
      <w:proofErr w:type="gramEnd"/>
      <w:r>
        <w:t>: “The objective of this Convention is to protect the human health and the environment from anthropogenic emissions and releases of mercury and mercury compounds.”</w:t>
      </w:r>
    </w:p>
    <w:p w14:paraId="5774C5CC" w14:textId="77777777" w:rsidR="008D6BCF" w:rsidRDefault="008D6BCF" w:rsidP="008D6BCF">
      <w:pPr>
        <w:pStyle w:val="exemplenorme"/>
        <w:ind w:left="993"/>
      </w:pPr>
      <w:proofErr w:type="gramStart"/>
      <w:r>
        <w:t>1981 Convention To Ban The Importation Into The Forum Island Countries Of Hazardous And Radioactive Wastes And To Control The Transboundary Movement And Management Of Hazardous Wastes Within The South Pacific, preamble: “CONSCIOUS of their responsibility to protect, preserve and improve the environment of the South Pacific for the good health, benefit and enjoyment of present and future generations of the people of the South Pacific;”</w:t>
      </w:r>
      <w:proofErr w:type="gramEnd"/>
    </w:p>
    <w:p w14:paraId="35D508DD" w14:textId="77777777" w:rsidR="008D6BCF" w:rsidRPr="003E0B8E" w:rsidRDefault="008D6BCF" w:rsidP="008D6BCF">
      <w:pPr>
        <w:pStyle w:val="Sous-titre"/>
        <w:rPr>
          <w:lang w:val="en-CA"/>
        </w:rPr>
      </w:pPr>
    </w:p>
    <w:p w14:paraId="48C1D363" w14:textId="3C8F2476" w:rsidR="008D6BCF" w:rsidRDefault="008D6BCF" w:rsidP="008D6BCF">
      <w:pPr>
        <w:pStyle w:val="titresousnormedites"/>
      </w:pPr>
      <w:bookmarkStart w:id="15" w:name="_Toc501098295"/>
      <w:bookmarkStart w:id="16" w:name="_Toc503952503"/>
      <w:r>
        <w:t>3.03   Recognition of a right to health</w:t>
      </w:r>
      <w:bookmarkEnd w:id="15"/>
      <w:bookmarkEnd w:id="16"/>
      <w:r>
        <w:t xml:space="preserve"> </w:t>
      </w:r>
    </w:p>
    <w:p w14:paraId="4ED75348" w14:textId="77777777" w:rsidR="008D6BCF" w:rsidRDefault="008D6BCF" w:rsidP="008D6BCF">
      <w:pPr>
        <w:pStyle w:val="textenorme"/>
        <w:ind w:left="993" w:hanging="426"/>
      </w:pPr>
      <w:r>
        <w:t xml:space="preserve">Includes provisions that mention the right to health. </w:t>
      </w:r>
    </w:p>
    <w:p w14:paraId="35A2D496" w14:textId="77777777" w:rsidR="008D6BCF" w:rsidRDefault="008D6BCF" w:rsidP="008D6BCF">
      <w:pPr>
        <w:pStyle w:val="textenorme"/>
        <w:ind w:left="993" w:hanging="426"/>
      </w:pPr>
      <w:r>
        <w:t xml:space="preserve">As always, </w:t>
      </w:r>
      <w:proofErr w:type="gramStart"/>
      <w:r>
        <w:t>can be found</w:t>
      </w:r>
      <w:proofErr w:type="gramEnd"/>
      <w:r>
        <w:t xml:space="preserve"> in the preamble as well as in the main text. </w:t>
      </w:r>
    </w:p>
    <w:p w14:paraId="42C259C1" w14:textId="77777777" w:rsidR="008D6BCF" w:rsidRDefault="008D6BCF" w:rsidP="008D6BCF">
      <w:pPr>
        <w:pStyle w:val="textenorme"/>
        <w:ind w:left="993" w:hanging="426"/>
      </w:pPr>
      <w:r>
        <w:t>Includes the “right to [live in] a healthy environment” or the “right to live in an environment adequate for one’s health”.</w:t>
      </w:r>
    </w:p>
    <w:p w14:paraId="34FA2418" w14:textId="77777777" w:rsidR="008D6BCF" w:rsidRDefault="008D6BCF" w:rsidP="008D6BCF">
      <w:pPr>
        <w:pStyle w:val="exemplenorme"/>
        <w:ind w:left="993"/>
      </w:pPr>
      <w:proofErr w:type="gramStart"/>
      <w:r>
        <w:t>2015</w:t>
      </w:r>
      <w:proofErr w:type="gramEnd"/>
      <w:r>
        <w:t xml:space="preserve"> Paris Agreement, preamble: “[...] Parties should, when taking action to address climate change, respect, promote and consider their respective obligations on […] the right to health.”</w:t>
      </w:r>
    </w:p>
    <w:p w14:paraId="7B478488" w14:textId="77777777" w:rsidR="008D6BCF" w:rsidRDefault="008D6BCF" w:rsidP="008D6BCF">
      <w:pPr>
        <w:pStyle w:val="exemplenorme"/>
        <w:ind w:left="993"/>
      </w:pPr>
      <w:r>
        <w:t>1998 Convention On Access To Information, Public Participation In Decision-Making And Access To Justice In Environmental Matters, art 1: “In order to contribute to the protection of the right of every person of present and future generations to live in an environment adequate to his or her health and well-being.”</w:t>
      </w:r>
    </w:p>
    <w:p w14:paraId="2F01D93B" w14:textId="77777777" w:rsidR="00FA7323" w:rsidRPr="008D6BCF" w:rsidRDefault="00FA7323" w:rsidP="0091125C">
      <w:pPr>
        <w:rPr>
          <w:rFonts w:ascii="Palatino Linotype" w:hAnsi="Palatino Linotype"/>
          <w:lang w:val="en-US"/>
        </w:rPr>
      </w:pPr>
    </w:p>
    <w:p w14:paraId="74F76A06" w14:textId="790FAC59" w:rsidR="00FA7323" w:rsidRPr="0042441E" w:rsidRDefault="008A0520" w:rsidP="0091125C">
      <w:pPr>
        <w:pStyle w:val="Titre2"/>
        <w:tabs>
          <w:tab w:val="clear" w:pos="1129"/>
          <w:tab w:val="left" w:pos="1134"/>
        </w:tabs>
        <w:contextualSpacing w:val="0"/>
        <w:rPr>
          <w:rFonts w:ascii="Palatino Linotype" w:hAnsi="Palatino Linotype"/>
          <w:sz w:val="22"/>
          <w:lang w:val="en-CA"/>
        </w:rPr>
      </w:pPr>
      <w:bookmarkStart w:id="17" w:name="_Toc503952504"/>
      <w:r w:rsidRPr="0042441E">
        <w:rPr>
          <w:rFonts w:ascii="Palatino Linotype" w:hAnsi="Palatino Linotype"/>
          <w:sz w:val="22"/>
          <w:lang w:val="en-CA"/>
        </w:rPr>
        <w:t xml:space="preserve">3.08 </w:t>
      </w:r>
      <w:r w:rsidR="00F10AFF">
        <w:rPr>
          <w:rFonts w:ascii="Palatino Linotype" w:hAnsi="Palatino Linotype"/>
          <w:sz w:val="22"/>
          <w:lang w:val="en-CA"/>
        </w:rPr>
        <w:t xml:space="preserve">  </w:t>
      </w:r>
      <w:r w:rsidRPr="0042441E">
        <w:rPr>
          <w:rFonts w:ascii="Palatino Linotype" w:hAnsi="Palatino Linotype"/>
          <w:sz w:val="22"/>
          <w:lang w:val="en-CA"/>
        </w:rPr>
        <w:t>Precautionary principle</w:t>
      </w:r>
      <w:bookmarkEnd w:id="17"/>
      <w:r w:rsidRPr="0042441E">
        <w:rPr>
          <w:rFonts w:ascii="Palatino Linotype" w:hAnsi="Palatino Linotype"/>
          <w:sz w:val="22"/>
          <w:lang w:val="en-CA"/>
        </w:rPr>
        <w:t xml:space="preserve"> </w:t>
      </w:r>
    </w:p>
    <w:p w14:paraId="47AA3F43" w14:textId="77777777" w:rsidR="00F10AFF" w:rsidRPr="003304A2" w:rsidRDefault="00F10AFF" w:rsidP="00F10AFF">
      <w:pPr>
        <w:pStyle w:val="textenorme"/>
        <w:ind w:left="993" w:hanging="426"/>
      </w:pPr>
      <w:r w:rsidRPr="003304A2">
        <w:t xml:space="preserve">Not limited to the terms “precautionary principle” as it </w:t>
      </w:r>
      <w:proofErr w:type="gramStart"/>
      <w:r w:rsidRPr="003304A2">
        <w:t>might not be used</w:t>
      </w:r>
      <w:proofErr w:type="gramEnd"/>
      <w:r w:rsidRPr="003304A2">
        <w:t xml:space="preserve">. However, the mention of the “precautionary principle” is sufficient. </w:t>
      </w:r>
    </w:p>
    <w:p w14:paraId="6949BE8F" w14:textId="77777777" w:rsidR="00F10AFF" w:rsidRPr="003304A2" w:rsidRDefault="00F10AFF" w:rsidP="00F10AFF">
      <w:pPr>
        <w:pStyle w:val="textenorme"/>
        <w:ind w:left="993" w:hanging="426"/>
      </w:pPr>
      <w:r w:rsidRPr="003304A2">
        <w:t xml:space="preserve">Refers to a duty or the possibility to prevent harm by taking action when there is a lack of scientific certainty. In other words, insufficient scientific evidence </w:t>
      </w:r>
      <w:proofErr w:type="gramStart"/>
      <w:r w:rsidRPr="003304A2">
        <w:t>shall not be used</w:t>
      </w:r>
      <w:proofErr w:type="gramEnd"/>
      <w:r w:rsidRPr="003304A2">
        <w:t xml:space="preserve"> as a reason for postponing or rejecting measures. </w:t>
      </w:r>
    </w:p>
    <w:p w14:paraId="4D207041" w14:textId="77777777" w:rsidR="00F10AFF" w:rsidRPr="003304A2" w:rsidRDefault="00F10AFF" w:rsidP="00F10AFF">
      <w:pPr>
        <w:pStyle w:val="textenorme"/>
        <w:ind w:left="993" w:hanging="426"/>
      </w:pPr>
      <w:r w:rsidRPr="003304A2">
        <w:t>Includes references to principle 15 of the Rio Declaration.</w:t>
      </w:r>
    </w:p>
    <w:p w14:paraId="707F5490" w14:textId="77777777" w:rsidR="00F10AFF" w:rsidRPr="003304A2" w:rsidRDefault="00F10AFF" w:rsidP="00F10AFF">
      <w:pPr>
        <w:pStyle w:val="textenorme"/>
        <w:ind w:left="993" w:hanging="426"/>
      </w:pPr>
      <w:r w:rsidRPr="003304A2">
        <w:t>Calling Parties to take account of scientific information is not sufficient.</w:t>
      </w:r>
    </w:p>
    <w:p w14:paraId="5FDC082E" w14:textId="77777777" w:rsidR="00F10AFF" w:rsidRPr="003304A2" w:rsidRDefault="00F10AFF" w:rsidP="00F10AFF">
      <w:pPr>
        <w:pStyle w:val="textenorme"/>
        <w:ind w:left="993" w:hanging="426"/>
      </w:pPr>
      <w:r w:rsidRPr="003304A2">
        <w:t xml:space="preserve">To be distinguished from the prevention principle (which is about risks rather than uncertainty). See 3.09 for the international prevention principle. </w:t>
      </w:r>
    </w:p>
    <w:p w14:paraId="1732ADE5" w14:textId="77777777" w:rsidR="00F10AFF" w:rsidRPr="003304A2" w:rsidRDefault="00F10AFF" w:rsidP="00F10AFF">
      <w:pPr>
        <w:pStyle w:val="textenorme"/>
        <w:ind w:left="993" w:hanging="426"/>
      </w:pPr>
      <w:r w:rsidRPr="003304A2">
        <w:t xml:space="preserve">Does not need to be explicitly about health. </w:t>
      </w:r>
    </w:p>
    <w:p w14:paraId="0E45F439" w14:textId="77777777" w:rsidR="00F10AFF" w:rsidRPr="003304A2" w:rsidRDefault="00F10AFF" w:rsidP="00F10AFF">
      <w:pPr>
        <w:pStyle w:val="exemplenorme"/>
        <w:ind w:left="993"/>
      </w:pPr>
      <w:r w:rsidRPr="003304A2">
        <w:t xml:space="preserve">2012 Protocol for the Protection of the Caspian Sea against Pollution from Land-Based Sources and Activities, art. 2: “The Contracting Parties shall, in particular: (a) Apply the precautionary principle, by virtue of which where there are threats of serious or irreversible damage […] lack of full scientific certainty shall not be used as a reason for postponing cost-effective measures to prevent such damage.” </w:t>
      </w:r>
    </w:p>
    <w:p w14:paraId="2CB6F3DE" w14:textId="77777777" w:rsidR="00F10AFF" w:rsidRPr="003304A2" w:rsidRDefault="00F10AFF" w:rsidP="00F10AFF">
      <w:pPr>
        <w:pStyle w:val="exemplenorme"/>
        <w:ind w:left="993"/>
      </w:pPr>
      <w:r w:rsidRPr="003304A2">
        <w:t xml:space="preserve">1987 Montreal Protocol </w:t>
      </w:r>
      <w:proofErr w:type="gramStart"/>
      <w:r w:rsidRPr="003304A2">
        <w:t>On Substances That Deplete The</w:t>
      </w:r>
      <w:proofErr w:type="gramEnd"/>
      <w:r w:rsidRPr="003304A2">
        <w:t xml:space="preserve"> Ozone Layer, preamble: “DETERMINED to protect the ozone layer by taking precautionary measures to control equitably total global emissions of substances that deplete it [...].”</w:t>
      </w:r>
    </w:p>
    <w:p w14:paraId="413516FA" w14:textId="02D92737" w:rsidR="00B51FC8" w:rsidRDefault="00B51FC8">
      <w:pPr>
        <w:rPr>
          <w:rFonts w:ascii="Palatino Linotype" w:hAnsi="Palatino Linotype"/>
          <w:b/>
          <w:sz w:val="28"/>
          <w:szCs w:val="36"/>
          <w:lang w:val="en-CA"/>
        </w:rPr>
      </w:pPr>
    </w:p>
    <w:p w14:paraId="3AFD56B3" w14:textId="6F0B120B" w:rsidR="00142418" w:rsidRDefault="00142418" w:rsidP="00142418">
      <w:pPr>
        <w:pStyle w:val="titrenorme"/>
        <w:numPr>
          <w:ilvl w:val="0"/>
          <w:numId w:val="0"/>
        </w:numPr>
        <w:tabs>
          <w:tab w:val="left" w:pos="567"/>
        </w:tabs>
      </w:pPr>
      <w:bookmarkStart w:id="18" w:name="_Toc503952505"/>
      <w:r>
        <w:t>4.</w:t>
      </w:r>
      <w:r>
        <w:tab/>
      </w:r>
      <w:bookmarkStart w:id="19" w:name="_Toc501098314"/>
      <w:r>
        <w:t>Imports and Exports</w:t>
      </w:r>
      <w:bookmarkEnd w:id="18"/>
      <w:bookmarkEnd w:id="19"/>
      <w:r>
        <w:t xml:space="preserve"> </w:t>
      </w:r>
    </w:p>
    <w:p w14:paraId="23F3F1E9" w14:textId="77777777" w:rsidR="00142418" w:rsidRPr="00EE610E" w:rsidRDefault="00142418" w:rsidP="00142418">
      <w:pPr>
        <w:pStyle w:val="introduction"/>
        <w:ind w:left="567"/>
      </w:pPr>
      <w:r w:rsidRPr="00EE610E">
        <w:t>Includes norms regulating trade, be it legal trade or illegal trade.</w:t>
      </w:r>
    </w:p>
    <w:p w14:paraId="60944C29" w14:textId="77777777" w:rsidR="00142418" w:rsidRPr="00EE610E" w:rsidRDefault="00142418" w:rsidP="00142418">
      <w:pPr>
        <w:pStyle w:val="introduction"/>
        <w:ind w:left="567"/>
      </w:pPr>
      <w:r w:rsidRPr="00EE610E">
        <w:lastRenderedPageBreak/>
        <w:t>Includes provisions prohibiting or limiting trade of a product or a resource or one of its elements.</w:t>
      </w:r>
    </w:p>
    <w:p w14:paraId="343ABCE7" w14:textId="314298EE" w:rsidR="00142418" w:rsidRPr="00EE610E" w:rsidRDefault="00142418" w:rsidP="00142418">
      <w:pPr>
        <w:pStyle w:val="introduction"/>
        <w:ind w:left="567"/>
      </w:pPr>
      <w:r w:rsidRPr="00EE610E">
        <w:t>Incl</w:t>
      </w:r>
      <w:r>
        <w:t>udes provisions compelling the P</w:t>
      </w:r>
      <w:r w:rsidRPr="00EE610E">
        <w:t>arties not to prohibit or limit trade</w:t>
      </w:r>
      <w:r>
        <w:t xml:space="preserve">. </w:t>
      </w:r>
    </w:p>
    <w:p w14:paraId="4C6DB4FF" w14:textId="77777777" w:rsidR="00142418" w:rsidRPr="00EE610E" w:rsidRDefault="00142418" w:rsidP="00142418">
      <w:pPr>
        <w:pStyle w:val="introduction"/>
        <w:ind w:left="567"/>
      </w:pPr>
      <w:r w:rsidRPr="00EE610E">
        <w:t>Excludes norms on transit, re-importation and re-exportation.</w:t>
      </w:r>
    </w:p>
    <w:p w14:paraId="27C574A1" w14:textId="77777777" w:rsidR="00142418" w:rsidRPr="00EE610E" w:rsidRDefault="00142418" w:rsidP="00142418">
      <w:pPr>
        <w:pStyle w:val="introduction"/>
        <w:ind w:left="567"/>
      </w:pPr>
      <w:r w:rsidRPr="00EE610E">
        <w:t>Excludes measures regula</w:t>
      </w:r>
      <w:r>
        <w:t>ting emission trading schemes (s</w:t>
      </w:r>
      <w:r w:rsidRPr="00EE610E">
        <w:t>ee instead 5.05</w:t>
      </w:r>
      <w:r>
        <w:t>)</w:t>
      </w:r>
      <w:r w:rsidRPr="00EE610E">
        <w:t xml:space="preserve">. </w:t>
      </w:r>
    </w:p>
    <w:p w14:paraId="5D17FDBB" w14:textId="77777777" w:rsidR="00142418" w:rsidRDefault="00142418" w:rsidP="00142418">
      <w:pPr>
        <w:pStyle w:val="introduction"/>
        <w:ind w:left="567"/>
      </w:pPr>
      <w:r w:rsidRPr="00EE610E">
        <w:t xml:space="preserve">Making available for commercial purposes or selling is not sufficient to </w:t>
      </w:r>
      <w:proofErr w:type="gramStart"/>
      <w:r w:rsidRPr="00EE610E">
        <w:t>be considered</w:t>
      </w:r>
      <w:proofErr w:type="gramEnd"/>
      <w:r w:rsidRPr="00EE610E">
        <w:t xml:space="preserve"> as trade. See instead 6.03.</w:t>
      </w:r>
    </w:p>
    <w:p w14:paraId="5D548C98" w14:textId="77777777" w:rsidR="00FA7323" w:rsidRPr="00500E1B" w:rsidRDefault="00FA7323" w:rsidP="0091125C">
      <w:pPr>
        <w:jc w:val="both"/>
        <w:rPr>
          <w:rFonts w:ascii="Palatino Linotype" w:hAnsi="Palatino Linotype"/>
          <w:lang w:val="en-CA"/>
        </w:rPr>
      </w:pPr>
    </w:p>
    <w:p w14:paraId="7B33598C" w14:textId="21F053CD" w:rsidR="00074189" w:rsidRDefault="00074189" w:rsidP="00074189">
      <w:pPr>
        <w:pStyle w:val="titresousnormedites"/>
      </w:pPr>
      <w:bookmarkStart w:id="20" w:name="_Toc501098315"/>
      <w:bookmarkStart w:id="21" w:name="_Toc503952506"/>
      <w:r>
        <w:t>4.01   Regulation of importations</w:t>
      </w:r>
      <w:bookmarkEnd w:id="20"/>
      <w:bookmarkEnd w:id="21"/>
    </w:p>
    <w:p w14:paraId="7BFF54A1" w14:textId="77777777" w:rsidR="00074189" w:rsidRDefault="00074189" w:rsidP="00074189">
      <w:pPr>
        <w:pStyle w:val="textenorme"/>
        <w:ind w:left="993" w:hanging="426"/>
      </w:pPr>
      <w:r>
        <w:t xml:space="preserve">Includes measures applicable to trade in general (unspecified if imports or exports). </w:t>
      </w:r>
    </w:p>
    <w:p w14:paraId="0D5E9F99" w14:textId="77777777" w:rsidR="00074189" w:rsidRDefault="00074189" w:rsidP="00074189">
      <w:pPr>
        <w:pStyle w:val="textenorme"/>
        <w:ind w:left="993" w:hanging="426"/>
      </w:pPr>
      <w:r>
        <w:t>Excludes measures specific for non-parties to the agreement (see instead 4.03).</w:t>
      </w:r>
    </w:p>
    <w:p w14:paraId="66ED0253" w14:textId="77777777" w:rsidR="00FA7323" w:rsidRPr="00074189" w:rsidRDefault="00FA7323" w:rsidP="0091125C">
      <w:pPr>
        <w:jc w:val="both"/>
        <w:rPr>
          <w:rFonts w:ascii="Palatino Linotype" w:hAnsi="Palatino Linotype"/>
          <w:lang w:val="en-US"/>
        </w:rPr>
      </w:pPr>
    </w:p>
    <w:p w14:paraId="44909106" w14:textId="77777777" w:rsidR="00074189" w:rsidRDefault="00074189" w:rsidP="00074189">
      <w:pPr>
        <w:pStyle w:val="titresoussousnormedites"/>
        <w:ind w:left="567"/>
      </w:pPr>
      <w:bookmarkStart w:id="22" w:name="_Toc501098317"/>
      <w:bookmarkStart w:id="23" w:name="_Toc503952507"/>
      <w:r>
        <w:t>4.01.02 Restrictions or limitations of importations of general application</w:t>
      </w:r>
      <w:bookmarkEnd w:id="22"/>
      <w:bookmarkEnd w:id="23"/>
      <w:r>
        <w:t xml:space="preserve"> </w:t>
      </w:r>
    </w:p>
    <w:p w14:paraId="7DB3469E" w14:textId="77777777" w:rsidR="00FA7323" w:rsidRPr="003C2BC9" w:rsidRDefault="00FA7323" w:rsidP="0091125C">
      <w:pPr>
        <w:rPr>
          <w:rFonts w:ascii="Palatino Linotype" w:hAnsi="Palatino Linotype"/>
          <w:lang w:val="en-CA"/>
        </w:rPr>
      </w:pPr>
    </w:p>
    <w:p w14:paraId="6DBB6194" w14:textId="77777777" w:rsidR="002D5E16" w:rsidRDefault="002D5E16" w:rsidP="002D5E16">
      <w:pPr>
        <w:pStyle w:val="minimormedites"/>
        <w:ind w:firstLine="715"/>
      </w:pPr>
      <w:r>
        <w:t xml:space="preserve">4.01.02.02 Importer can impose a quarantine </w:t>
      </w:r>
    </w:p>
    <w:p w14:paraId="489B5A8F" w14:textId="77777777" w:rsidR="002D5E16" w:rsidRDefault="002D5E16" w:rsidP="002D5E16">
      <w:pPr>
        <w:pStyle w:val="textemininorme"/>
        <w:ind w:left="1701" w:hanging="425"/>
      </w:pPr>
      <w:r>
        <w:t xml:space="preserve">Includes provisions authorizing Parties to quarantine a product, regardless of how this quarantine </w:t>
      </w:r>
      <w:proofErr w:type="gramStart"/>
      <w:r>
        <w:t>is conducted</w:t>
      </w:r>
      <w:proofErr w:type="gramEnd"/>
      <w:r>
        <w:t>.</w:t>
      </w:r>
    </w:p>
    <w:p w14:paraId="0AEDFA17" w14:textId="77777777" w:rsidR="002D5E16" w:rsidRDefault="002D5E16" w:rsidP="002D5E16">
      <w:pPr>
        <w:pStyle w:val="textemininorme"/>
        <w:ind w:left="1701" w:hanging="425"/>
      </w:pPr>
      <w:r>
        <w:t xml:space="preserve">Includes the right to submit a product or cargo to an inspection at a port of entry. </w:t>
      </w:r>
    </w:p>
    <w:p w14:paraId="66A00B89" w14:textId="77777777" w:rsidR="002D5E16" w:rsidRDefault="002D5E16" w:rsidP="002D5E16">
      <w:pPr>
        <w:pStyle w:val="textemininorme"/>
        <w:ind w:left="1701" w:hanging="425"/>
      </w:pPr>
      <w:r>
        <w:t>Quarantine includes disinfection and disinfestation.</w:t>
      </w:r>
    </w:p>
    <w:p w14:paraId="24E7760A" w14:textId="77777777" w:rsidR="002D5E16" w:rsidRDefault="002D5E16" w:rsidP="002D5E16">
      <w:pPr>
        <w:pStyle w:val="textemininorme"/>
        <w:ind w:left="1701" w:hanging="425"/>
      </w:pPr>
      <w:r>
        <w:t xml:space="preserve">The conduct of sanitary and veterinary controls at the frontier is not sufficient (see 4.01.02.03). </w:t>
      </w:r>
    </w:p>
    <w:p w14:paraId="5EA82D5B" w14:textId="77777777" w:rsidR="002D5E16" w:rsidRDefault="002D5E16" w:rsidP="002D5E16">
      <w:pPr>
        <w:pStyle w:val="textemininorme"/>
        <w:ind w:left="1701" w:hanging="425"/>
      </w:pPr>
      <w:r>
        <w:t xml:space="preserve">Excludes provisions dealing with the consequences of the quarantine or inspections measures (for refusal of entry, see 4.01.01.03). </w:t>
      </w:r>
    </w:p>
    <w:p w14:paraId="74E0E016" w14:textId="3375D329" w:rsidR="002D5E16" w:rsidRPr="00D05E3C" w:rsidRDefault="002D5E16" w:rsidP="002D5E16">
      <w:pPr>
        <w:pStyle w:val="Sansinterligne"/>
        <w:ind w:left="1701" w:hanging="425"/>
        <w:rPr>
          <w:lang w:val="en-CA"/>
        </w:rPr>
      </w:pPr>
      <w:r>
        <w:rPr>
          <w:lang w:val="en-CA"/>
        </w:rPr>
        <w:tab/>
      </w:r>
      <w:r w:rsidRPr="00D05E3C">
        <w:rPr>
          <w:lang w:val="en-CA"/>
        </w:rPr>
        <w:t>1956 Plant Protection Agreement for the South East Asia and Pacific Region, art. 5: “[E]ach Contracting Government shall use its best endeavours to apply, with respect to the importation into its territory of any plants, […] such measures of […] inspection, disinfection, disinfestation, quarantine, destruction or other measures.”</w:t>
      </w:r>
    </w:p>
    <w:p w14:paraId="720198A3" w14:textId="4F8D6617" w:rsidR="002D5E16" w:rsidRPr="00D05E3C" w:rsidRDefault="002D5E16" w:rsidP="002D5E16">
      <w:pPr>
        <w:pStyle w:val="Sansinterligne"/>
        <w:ind w:left="1701" w:hanging="425"/>
        <w:rPr>
          <w:lang w:val="en-CA"/>
        </w:rPr>
      </w:pPr>
      <w:r>
        <w:rPr>
          <w:lang w:val="en-CA"/>
        </w:rPr>
        <w:tab/>
      </w:r>
      <w:proofErr w:type="gramStart"/>
      <w:r w:rsidRPr="00D05E3C">
        <w:rPr>
          <w:lang w:val="en-CA"/>
        </w:rPr>
        <w:t>1929</w:t>
      </w:r>
      <w:proofErr w:type="gramEnd"/>
      <w:r w:rsidRPr="00D05E3C">
        <w:rPr>
          <w:lang w:val="en-CA"/>
        </w:rPr>
        <w:t xml:space="preserve"> International Convention for the Protection of Plants, art 6: “Each State retains the right to inspect and place in quarantine plants or parts of plants, or temporarily and exceptionally to prohibit their importation, even when the consignments are accompanied by a health certificate.”</w:t>
      </w:r>
    </w:p>
    <w:p w14:paraId="2AE58E59" w14:textId="1E34343A" w:rsidR="00B51FC8" w:rsidRDefault="00B51FC8">
      <w:pPr>
        <w:rPr>
          <w:rFonts w:ascii="Palatino Linotype" w:hAnsi="Palatino Linotype"/>
          <w:b/>
          <w:sz w:val="28"/>
          <w:szCs w:val="36"/>
          <w:lang w:val="en-CA"/>
        </w:rPr>
      </w:pPr>
    </w:p>
    <w:p w14:paraId="6166E792" w14:textId="425E9FC2" w:rsidR="00FA7323" w:rsidRPr="00907468" w:rsidRDefault="009661C0" w:rsidP="009661C0">
      <w:pPr>
        <w:pStyle w:val="Titre1"/>
        <w:tabs>
          <w:tab w:val="left" w:pos="567"/>
        </w:tabs>
        <w:contextualSpacing w:val="0"/>
        <w:rPr>
          <w:rFonts w:ascii="Palatino Linotype" w:hAnsi="Palatino Linotype"/>
          <w:sz w:val="28"/>
          <w:lang w:val="en-CA"/>
        </w:rPr>
      </w:pPr>
      <w:bookmarkStart w:id="24" w:name="_Toc503952508"/>
      <w:r>
        <w:rPr>
          <w:rFonts w:ascii="Palatino Linotype" w:hAnsi="Palatino Linotype"/>
          <w:sz w:val="28"/>
          <w:lang w:val="en-CA"/>
        </w:rPr>
        <w:t>5.</w:t>
      </w:r>
      <w:r>
        <w:rPr>
          <w:rFonts w:ascii="Palatino Linotype" w:hAnsi="Palatino Linotype"/>
          <w:sz w:val="28"/>
          <w:lang w:val="en-CA"/>
        </w:rPr>
        <w:tab/>
      </w:r>
      <w:r w:rsidR="008A0520" w:rsidRPr="00907468">
        <w:rPr>
          <w:rFonts w:ascii="Palatino Linotype" w:hAnsi="Palatino Linotype"/>
          <w:sz w:val="28"/>
          <w:lang w:val="en-CA"/>
        </w:rPr>
        <w:t>Promotion of certain activities</w:t>
      </w:r>
      <w:bookmarkEnd w:id="24"/>
      <w:r w:rsidR="008A0520" w:rsidRPr="00907468">
        <w:rPr>
          <w:rFonts w:ascii="Palatino Linotype" w:hAnsi="Palatino Linotype"/>
          <w:sz w:val="28"/>
          <w:lang w:val="en-CA"/>
        </w:rPr>
        <w:t xml:space="preserve"> </w:t>
      </w:r>
    </w:p>
    <w:p w14:paraId="772C478F" w14:textId="77777777" w:rsidR="00FA7323" w:rsidRPr="003C2BC9" w:rsidRDefault="00FA7323" w:rsidP="0091125C">
      <w:pPr>
        <w:jc w:val="both"/>
        <w:rPr>
          <w:rFonts w:ascii="Palatino Linotype" w:hAnsi="Palatino Linotype"/>
          <w:lang w:val="en-CA"/>
        </w:rPr>
      </w:pPr>
      <w:bookmarkStart w:id="25" w:name="_gzszmt98oqc7" w:colFirst="0" w:colLast="0"/>
      <w:bookmarkEnd w:id="25"/>
    </w:p>
    <w:p w14:paraId="78C23088" w14:textId="3FF33E11" w:rsidR="00FA7323" w:rsidRPr="00907468" w:rsidRDefault="008A0520" w:rsidP="0091125C">
      <w:pPr>
        <w:pStyle w:val="Titre2"/>
        <w:tabs>
          <w:tab w:val="clear" w:pos="1129"/>
          <w:tab w:val="left" w:pos="1134"/>
        </w:tabs>
        <w:contextualSpacing w:val="0"/>
        <w:rPr>
          <w:rFonts w:ascii="Palatino Linotype" w:hAnsi="Palatino Linotype"/>
          <w:sz w:val="22"/>
          <w:lang w:val="en-CA"/>
        </w:rPr>
      </w:pPr>
      <w:bookmarkStart w:id="26" w:name="_Toc503952509"/>
      <w:r w:rsidRPr="00907468">
        <w:rPr>
          <w:rFonts w:ascii="Palatino Linotype" w:hAnsi="Palatino Linotype"/>
          <w:sz w:val="22"/>
          <w:lang w:val="en-CA"/>
        </w:rPr>
        <w:t xml:space="preserve">5.08 </w:t>
      </w:r>
      <w:r w:rsidR="009661C0">
        <w:rPr>
          <w:rFonts w:ascii="Palatino Linotype" w:hAnsi="Palatino Linotype"/>
          <w:sz w:val="22"/>
          <w:lang w:val="en-CA"/>
        </w:rPr>
        <w:t xml:space="preserve">  </w:t>
      </w:r>
      <w:r w:rsidRPr="00907468">
        <w:rPr>
          <w:rFonts w:ascii="Palatino Linotype" w:hAnsi="Palatino Linotype"/>
          <w:sz w:val="22"/>
          <w:lang w:val="en-CA"/>
        </w:rPr>
        <w:t>Parties should invest in national health services and capacities</w:t>
      </w:r>
      <w:bookmarkEnd w:id="26"/>
    </w:p>
    <w:p w14:paraId="7A0532E5" w14:textId="77777777" w:rsidR="009661C0" w:rsidRDefault="009661C0" w:rsidP="009661C0">
      <w:pPr>
        <w:pStyle w:val="textenorme"/>
        <w:ind w:left="993" w:hanging="426"/>
      </w:pPr>
      <w:bookmarkStart w:id="27" w:name="_fo4jmcypwjxs" w:colFirst="0" w:colLast="0"/>
      <w:bookmarkEnd w:id="27"/>
      <w:r>
        <w:t xml:space="preserve">Includes the “promotion of services” and “strengthen institutional or professional capacities”. </w:t>
      </w:r>
    </w:p>
    <w:p w14:paraId="347E873C" w14:textId="77777777" w:rsidR="009661C0" w:rsidRDefault="009661C0" w:rsidP="009661C0">
      <w:pPr>
        <w:pStyle w:val="textenorme"/>
        <w:ind w:left="993" w:hanging="426"/>
      </w:pPr>
      <w:r>
        <w:t>Not to be confused with commitment to adopt or establish policies.</w:t>
      </w:r>
    </w:p>
    <w:p w14:paraId="7516CF00" w14:textId="77777777" w:rsidR="009661C0" w:rsidRDefault="009661C0" w:rsidP="009661C0">
      <w:pPr>
        <w:pStyle w:val="exemplenorme"/>
        <w:ind w:left="993"/>
      </w:pPr>
      <w:proofErr w:type="gramStart"/>
      <w:r>
        <w:t>2001</w:t>
      </w:r>
      <w:proofErr w:type="gramEnd"/>
      <w:r>
        <w:t xml:space="preserve"> Stockholm Convention on persistent organic pollutants, Annex B, Part II: […] Measures to strengthen health care and to reduce the incidence of the disease.</w:t>
      </w:r>
    </w:p>
    <w:p w14:paraId="07103AC6" w14:textId="77777777" w:rsidR="009661C0" w:rsidRDefault="009661C0" w:rsidP="009661C0">
      <w:pPr>
        <w:pStyle w:val="exemplenorme"/>
        <w:ind w:left="993"/>
      </w:pPr>
      <w:r>
        <w:t xml:space="preserve">2013 </w:t>
      </w:r>
      <w:proofErr w:type="spellStart"/>
      <w:r>
        <w:t>Minamata</w:t>
      </w:r>
      <w:proofErr w:type="spellEnd"/>
      <w:r>
        <w:t xml:space="preserve"> Convention, art. 16(1): “Parties are encouraged to: […] (d) Establish and strengthen, as appropriate, the institutional and health professional capacities for the prevention, diagnosis, treatment and monitoring of health risks related to the exposure to mercury and mercury compounds”.</w:t>
      </w:r>
    </w:p>
    <w:p w14:paraId="14764E4D" w14:textId="744E6CFF" w:rsidR="0091125C" w:rsidRPr="009661C0" w:rsidRDefault="0091125C" w:rsidP="009661C0">
      <w:pPr>
        <w:ind w:left="426"/>
        <w:rPr>
          <w:rFonts w:ascii="Palatino Linotype" w:hAnsi="Palatino Linotype"/>
          <w:lang w:val="en-US"/>
        </w:rPr>
      </w:pPr>
    </w:p>
    <w:p w14:paraId="501B8C94" w14:textId="0F3C9B3B" w:rsidR="00B51FC8" w:rsidRDefault="00B51FC8">
      <w:pPr>
        <w:rPr>
          <w:rFonts w:ascii="Palatino Linotype" w:hAnsi="Palatino Linotype"/>
          <w:b/>
          <w:sz w:val="28"/>
          <w:szCs w:val="36"/>
          <w:lang w:val="en-CA"/>
        </w:rPr>
      </w:pPr>
    </w:p>
    <w:p w14:paraId="4801EB67" w14:textId="6DF996F2" w:rsidR="00BF44F0" w:rsidRDefault="00BF44F0" w:rsidP="00BF44F0">
      <w:pPr>
        <w:pStyle w:val="titrenorme"/>
        <w:numPr>
          <w:ilvl w:val="0"/>
          <w:numId w:val="0"/>
        </w:numPr>
        <w:tabs>
          <w:tab w:val="left" w:pos="567"/>
        </w:tabs>
      </w:pPr>
      <w:bookmarkStart w:id="28" w:name="_Toc501098369"/>
      <w:bookmarkStart w:id="29" w:name="_Toc503952510"/>
      <w:r>
        <w:t>8.</w:t>
      </w:r>
      <w:r>
        <w:tab/>
        <w:t>Flexibility</w:t>
      </w:r>
      <w:bookmarkEnd w:id="28"/>
      <w:bookmarkEnd w:id="29"/>
      <w:r>
        <w:t xml:space="preserve"> </w:t>
      </w:r>
    </w:p>
    <w:p w14:paraId="0CB0A7F6" w14:textId="77777777" w:rsidR="00BF44F0" w:rsidRDefault="00BF44F0" w:rsidP="00BF44F0">
      <w:pPr>
        <w:pStyle w:val="introduction"/>
        <w:ind w:left="567"/>
      </w:pPr>
      <w:r w:rsidRPr="00EE610E">
        <w:t>Includes the temporary or permanent suspension of commitments</w:t>
      </w:r>
      <w:r>
        <w:t xml:space="preserve">. </w:t>
      </w:r>
    </w:p>
    <w:p w14:paraId="70283E2A" w14:textId="77777777" w:rsidR="00BF44F0" w:rsidRDefault="00BF44F0" w:rsidP="00BF44F0">
      <w:pPr>
        <w:pStyle w:val="introduction"/>
      </w:pPr>
    </w:p>
    <w:p w14:paraId="52E5BB21" w14:textId="3603D99A" w:rsidR="00BF44F0" w:rsidRDefault="00BF44F0" w:rsidP="00BF44F0">
      <w:pPr>
        <w:pStyle w:val="titresousnormedites"/>
      </w:pPr>
      <w:bookmarkStart w:id="30" w:name="_Toc501098370"/>
      <w:bookmarkStart w:id="31" w:name="_Toc503952511"/>
      <w:r>
        <w:t>8.01   Exceptions and safeguards</w:t>
      </w:r>
      <w:bookmarkEnd w:id="30"/>
      <w:bookmarkEnd w:id="31"/>
      <w:r>
        <w:t xml:space="preserve"> </w:t>
      </w:r>
    </w:p>
    <w:p w14:paraId="5248D427" w14:textId="77777777" w:rsidR="00BF44F0" w:rsidRDefault="00BF44F0" w:rsidP="00BF44F0">
      <w:pPr>
        <w:pStyle w:val="textenorme"/>
        <w:ind w:left="993" w:hanging="426"/>
      </w:pPr>
      <w:r>
        <w:t xml:space="preserve">Includes exceptions for the entire agreement, or for some specific commitment. </w:t>
      </w:r>
    </w:p>
    <w:p w14:paraId="4EFFBCFA" w14:textId="77777777" w:rsidR="00BF44F0" w:rsidRDefault="00BF44F0" w:rsidP="00BF44F0">
      <w:pPr>
        <w:pStyle w:val="textenorme"/>
        <w:ind w:left="993" w:hanging="426"/>
      </w:pPr>
      <w:r>
        <w:t>Excludes provisions that affirm that the Parties can go beyond their obligations, since it would not be an exception or a safeguard.</w:t>
      </w:r>
    </w:p>
    <w:p w14:paraId="4401905F" w14:textId="77777777" w:rsidR="00BF44F0" w:rsidRDefault="00BF44F0" w:rsidP="00BF44F0">
      <w:pPr>
        <w:pStyle w:val="textenorme"/>
        <w:ind w:left="993" w:hanging="426"/>
      </w:pPr>
      <w:r>
        <w:t xml:space="preserve">Excludes reservations. </w:t>
      </w:r>
    </w:p>
    <w:p w14:paraId="42E91F96" w14:textId="77777777" w:rsidR="00FA7323" w:rsidRPr="003C2BC9" w:rsidRDefault="00FA7323" w:rsidP="0091125C">
      <w:pPr>
        <w:rPr>
          <w:rFonts w:ascii="Palatino Linotype" w:hAnsi="Palatino Linotype"/>
        </w:rPr>
      </w:pPr>
    </w:p>
    <w:p w14:paraId="1394560D" w14:textId="77777777" w:rsidR="00BF44F0" w:rsidRDefault="00BF44F0" w:rsidP="00BF44F0">
      <w:pPr>
        <w:pStyle w:val="titresoussousnormedites"/>
        <w:ind w:left="567"/>
      </w:pPr>
      <w:bookmarkStart w:id="32" w:name="_s3yaf1kdvlsu" w:colFirst="0" w:colLast="0"/>
      <w:bookmarkStart w:id="33" w:name="_Toc501098371"/>
      <w:bookmarkStart w:id="34" w:name="_Toc503952512"/>
      <w:bookmarkEnd w:id="32"/>
      <w:r>
        <w:t>8.01.01 Exceptions and safeguards to preserve human health</w:t>
      </w:r>
      <w:bookmarkEnd w:id="33"/>
      <w:bookmarkEnd w:id="34"/>
      <w:r>
        <w:t xml:space="preserve"> </w:t>
      </w:r>
    </w:p>
    <w:p w14:paraId="3CB5E7B8" w14:textId="77777777" w:rsidR="00BF44F0" w:rsidRDefault="00BF44F0" w:rsidP="00BF44F0">
      <w:pPr>
        <w:pStyle w:val="textenorme"/>
        <w:ind w:left="993" w:hanging="426"/>
      </w:pPr>
      <w:r>
        <w:t xml:space="preserve">Includes exceptions related to human health, human life, public health, etc. </w:t>
      </w:r>
    </w:p>
    <w:p w14:paraId="2987641F" w14:textId="77777777" w:rsidR="00BF44F0" w:rsidRDefault="00BF44F0" w:rsidP="00BF44F0">
      <w:pPr>
        <w:pStyle w:val="textenorme"/>
        <w:ind w:left="993" w:hanging="426"/>
      </w:pPr>
      <w:r>
        <w:t xml:space="preserve">Includes exceptions related to the survival of humans, may it be the protection of a single life or the protection of humankind with references, for example, to situations such as famine, food security, defense of human life if directly threatened by an animal, etc. </w:t>
      </w:r>
    </w:p>
    <w:p w14:paraId="4A18D0C7" w14:textId="77777777" w:rsidR="00BF44F0" w:rsidRDefault="00BF44F0" w:rsidP="00BF44F0">
      <w:pPr>
        <w:pStyle w:val="textenorme"/>
        <w:ind w:left="993" w:hanging="426"/>
      </w:pPr>
      <w:r>
        <w:t xml:space="preserve">Includes exceptions and safeguards due to danger for human health. </w:t>
      </w:r>
    </w:p>
    <w:p w14:paraId="350E4221" w14:textId="77777777" w:rsidR="00BF44F0" w:rsidRDefault="00BF44F0" w:rsidP="00BF44F0">
      <w:pPr>
        <w:pStyle w:val="exemplenorme"/>
        <w:ind w:left="993"/>
      </w:pPr>
      <w:r>
        <w:t xml:space="preserve">1968 African Convention on the Conservation of Nature, art. 17(1): “The provisions of this Convention shall not affect the responsibilities of Contracting States concerning: [...] (b) for the protection of public health”. </w:t>
      </w:r>
    </w:p>
    <w:p w14:paraId="7F0BABAC" w14:textId="77777777" w:rsidR="00BF44F0" w:rsidRDefault="00BF44F0" w:rsidP="00BF44F0">
      <w:pPr>
        <w:pStyle w:val="exemplenorme"/>
        <w:ind w:left="993"/>
      </w:pPr>
      <w:r>
        <w:t>1989 Basel Convention, art. 4(11): “Nothing in this Convention shall prevent a Party from imposing additional requirements that are consistent with the provisions of this Convention [...] in order better to protect human health and the environment.”</w:t>
      </w:r>
    </w:p>
    <w:p w14:paraId="78E54D6F" w14:textId="6DD3917C" w:rsidR="00B51FC8" w:rsidRPr="00BF44F0" w:rsidRDefault="00B51FC8">
      <w:pPr>
        <w:rPr>
          <w:rFonts w:ascii="Palatino Linotype" w:hAnsi="Palatino Linotype"/>
          <w:b/>
          <w:sz w:val="28"/>
          <w:szCs w:val="36"/>
          <w:lang w:val="en-CA"/>
        </w:rPr>
      </w:pPr>
    </w:p>
    <w:p w14:paraId="328A6772" w14:textId="6EEE049E" w:rsidR="005F4542" w:rsidRDefault="005F4542" w:rsidP="005F4542">
      <w:pPr>
        <w:pStyle w:val="titrenorme"/>
        <w:numPr>
          <w:ilvl w:val="0"/>
          <w:numId w:val="0"/>
        </w:numPr>
        <w:tabs>
          <w:tab w:val="left" w:pos="567"/>
        </w:tabs>
      </w:pPr>
      <w:bookmarkStart w:id="35" w:name="_Toc501098391"/>
      <w:bookmarkStart w:id="36" w:name="_Toc503952513"/>
      <w:r>
        <w:t>9.</w:t>
      </w:r>
      <w:r>
        <w:tab/>
        <w:t>Follow up cooperation</w:t>
      </w:r>
      <w:bookmarkEnd w:id="35"/>
      <w:bookmarkEnd w:id="36"/>
      <w:r>
        <w:t xml:space="preserve"> </w:t>
      </w:r>
    </w:p>
    <w:p w14:paraId="02AF5B88" w14:textId="77777777" w:rsidR="005F4542" w:rsidRPr="00EE610E" w:rsidRDefault="005F4542" w:rsidP="005F4542">
      <w:pPr>
        <w:pStyle w:val="introduction"/>
        <w:ind w:left="567"/>
      </w:pPr>
      <w:r w:rsidRPr="00EE610E">
        <w:t xml:space="preserve">All norms in the section will require state-state interaction following the entry into force of the agreement. </w:t>
      </w:r>
    </w:p>
    <w:p w14:paraId="1C571F17" w14:textId="77777777" w:rsidR="005F4542" w:rsidRDefault="005F4542" w:rsidP="005F4542">
      <w:pPr>
        <w:pStyle w:val="introduction"/>
        <w:ind w:left="567"/>
      </w:pPr>
      <w:r w:rsidRPr="00EE610E">
        <w:t>Excludes cooperation with the pri</w:t>
      </w:r>
      <w:r>
        <w:t xml:space="preserve">vate sector (see 5.07) or with </w:t>
      </w:r>
      <w:r w:rsidRPr="00EE610E">
        <w:t>established international institutions (see 14.01).</w:t>
      </w:r>
    </w:p>
    <w:p w14:paraId="73A8B004" w14:textId="5E2D7FD0" w:rsidR="00FA7323" w:rsidRPr="003C2BC9" w:rsidRDefault="00FA7323" w:rsidP="00EA2FB5">
      <w:pPr>
        <w:tabs>
          <w:tab w:val="left" w:pos="851"/>
        </w:tabs>
        <w:rPr>
          <w:rFonts w:ascii="Palatino Linotype" w:hAnsi="Palatino Linotype"/>
          <w:lang w:val="en-CA"/>
        </w:rPr>
      </w:pPr>
    </w:p>
    <w:p w14:paraId="29757E45" w14:textId="2F986BA1" w:rsidR="00FA7323" w:rsidRPr="008E5EB3" w:rsidRDefault="008A0520" w:rsidP="0091125C">
      <w:pPr>
        <w:pStyle w:val="Titre2"/>
        <w:tabs>
          <w:tab w:val="clear" w:pos="1129"/>
          <w:tab w:val="left" w:pos="1134"/>
        </w:tabs>
        <w:contextualSpacing w:val="0"/>
        <w:rPr>
          <w:rFonts w:ascii="Palatino Linotype" w:hAnsi="Palatino Linotype"/>
          <w:sz w:val="22"/>
          <w:lang w:val="en-CA"/>
        </w:rPr>
      </w:pPr>
      <w:bookmarkStart w:id="37" w:name="_Toc503952514"/>
      <w:r w:rsidRPr="008E5EB3">
        <w:rPr>
          <w:rFonts w:ascii="Palatino Linotype" w:hAnsi="Palatino Linotype"/>
          <w:sz w:val="22"/>
          <w:lang w:val="en-CA"/>
        </w:rPr>
        <w:t xml:space="preserve">9.05 </w:t>
      </w:r>
      <w:r w:rsidR="005F4542">
        <w:rPr>
          <w:rFonts w:ascii="Palatino Linotype" w:hAnsi="Palatino Linotype"/>
          <w:sz w:val="22"/>
          <w:lang w:val="en-CA"/>
        </w:rPr>
        <w:t xml:space="preserve">  </w:t>
      </w:r>
      <w:r w:rsidRPr="008E5EB3">
        <w:rPr>
          <w:rFonts w:ascii="Palatino Linotype" w:hAnsi="Palatino Linotype"/>
          <w:sz w:val="22"/>
          <w:lang w:val="en-CA"/>
        </w:rPr>
        <w:t>Harmonization of domestic measures</w:t>
      </w:r>
      <w:bookmarkEnd w:id="37"/>
    </w:p>
    <w:p w14:paraId="4EEF7794" w14:textId="77777777" w:rsidR="005F4542" w:rsidRDefault="005F4542" w:rsidP="005F4542">
      <w:pPr>
        <w:pStyle w:val="textenorme"/>
        <w:ind w:left="993" w:hanging="426"/>
      </w:pPr>
      <w:r>
        <w:t xml:space="preserve">Includes commitment to adopt common guidelines, standardized methods, to harmonize domestic measures, be it policies, standards, procedures, joint measures, etc. </w:t>
      </w:r>
    </w:p>
    <w:p w14:paraId="53CB5868" w14:textId="77777777" w:rsidR="005F4542" w:rsidRDefault="005F4542" w:rsidP="005F4542">
      <w:pPr>
        <w:pStyle w:val="textenorme"/>
        <w:ind w:left="993" w:hanging="426"/>
      </w:pPr>
      <w:r>
        <w:t>Includes the adoption of new, common or uniform regulations.</w:t>
      </w:r>
    </w:p>
    <w:p w14:paraId="3B0B8059" w14:textId="77777777" w:rsidR="005F4542" w:rsidRDefault="005F4542" w:rsidP="005F4542">
      <w:pPr>
        <w:pStyle w:val="textenorme"/>
        <w:ind w:left="993" w:hanging="426"/>
      </w:pPr>
      <w:r>
        <w:t>Can be general or focused on a specific issue.</w:t>
      </w:r>
    </w:p>
    <w:p w14:paraId="4347A5C2" w14:textId="77777777" w:rsidR="005F4542" w:rsidRDefault="005F4542" w:rsidP="005F4542">
      <w:pPr>
        <w:pStyle w:val="textenorme"/>
        <w:ind w:left="993" w:hanging="426"/>
      </w:pPr>
      <w:r>
        <w:t>Includes avoidance of exceptional national standards.</w:t>
      </w:r>
    </w:p>
    <w:p w14:paraId="2EAECBA2" w14:textId="77777777" w:rsidR="005F4542" w:rsidRDefault="005F4542" w:rsidP="005F4542">
      <w:pPr>
        <w:pStyle w:val="textenorme"/>
        <w:ind w:left="993" w:hanging="426"/>
      </w:pPr>
      <w:r>
        <w:t xml:space="preserve">Unilateral harmonization with one Party’s standards </w:t>
      </w:r>
      <w:proofErr w:type="gramStart"/>
      <w:r>
        <w:t>is considered</w:t>
      </w:r>
      <w:proofErr w:type="gramEnd"/>
      <w:r>
        <w:t xml:space="preserve"> as harmonization. </w:t>
      </w:r>
    </w:p>
    <w:p w14:paraId="02C6DC9F" w14:textId="77777777" w:rsidR="005F4542" w:rsidRDefault="005F4542" w:rsidP="005F4542">
      <w:pPr>
        <w:pStyle w:val="textenorme"/>
        <w:ind w:left="993" w:hanging="426"/>
      </w:pPr>
      <w:r>
        <w:t xml:space="preserve">The implementation of international standards is not sufficient for harmonization. </w:t>
      </w:r>
    </w:p>
    <w:p w14:paraId="220A8047" w14:textId="77777777" w:rsidR="005F4542" w:rsidRDefault="005F4542" w:rsidP="005F4542">
      <w:pPr>
        <w:pStyle w:val="textenorme"/>
        <w:ind w:left="993" w:hanging="426"/>
      </w:pPr>
      <w:r>
        <w:t>Cooperation or coordination is not sufficient to imply harmonization.</w:t>
      </w:r>
    </w:p>
    <w:p w14:paraId="07E7E656" w14:textId="77777777" w:rsidR="005F4542" w:rsidRDefault="005F4542" w:rsidP="005F4542">
      <w:pPr>
        <w:pStyle w:val="textenorme"/>
        <w:ind w:left="993" w:hanging="426"/>
      </w:pPr>
      <w:r>
        <w:t xml:space="preserve">If the guidelines to </w:t>
      </w:r>
      <w:proofErr w:type="gramStart"/>
      <w:r>
        <w:t>be implemented</w:t>
      </w:r>
      <w:proofErr w:type="gramEnd"/>
      <w:r>
        <w:t xml:space="preserve"> in a common way as determined in the agreement are already existing guidelines prepared by another forum, it is found in 14.01. </w:t>
      </w:r>
    </w:p>
    <w:p w14:paraId="17FD4E04" w14:textId="77777777" w:rsidR="00FA7323" w:rsidRPr="005F4542" w:rsidRDefault="00FA7323" w:rsidP="005F4542">
      <w:pPr>
        <w:ind w:left="284"/>
        <w:rPr>
          <w:rFonts w:ascii="Palatino Linotype" w:hAnsi="Palatino Linotype"/>
          <w:lang w:val="en-US"/>
        </w:rPr>
      </w:pPr>
    </w:p>
    <w:p w14:paraId="31372F5C" w14:textId="77777777" w:rsidR="005F4542" w:rsidRDefault="005F4542" w:rsidP="005F4542">
      <w:pPr>
        <w:pStyle w:val="titresoussousnormedites"/>
        <w:ind w:left="567"/>
      </w:pPr>
      <w:bookmarkStart w:id="38" w:name="_Toc501098400"/>
      <w:bookmarkStart w:id="39" w:name="_Toc503952515"/>
      <w:r>
        <w:t>9.05.02 Harmonization related to health policy</w:t>
      </w:r>
      <w:bookmarkEnd w:id="38"/>
      <w:bookmarkEnd w:id="39"/>
      <w:r>
        <w:t xml:space="preserve"> </w:t>
      </w:r>
    </w:p>
    <w:p w14:paraId="2D2097D7" w14:textId="77777777" w:rsidR="005F4542" w:rsidRDefault="005F4542" w:rsidP="005F4542">
      <w:pPr>
        <w:pStyle w:val="exemplenorme"/>
        <w:ind w:left="993"/>
      </w:pPr>
      <w:r>
        <w:t xml:space="preserve">1980 Protocol for the Protection of the Mediterranean Sea against Pollution from Land-Based Sources, art. 7(1): “The parties shall progressively formulate and adopt[…] common guidelines </w:t>
      </w:r>
      <w:r>
        <w:lastRenderedPageBreak/>
        <w:t xml:space="preserve">and, as appropriate, standards or criteria dealing in particular with […] (c) the quality of sea-water for specific purposes that is necessary for the protection of human health.” </w:t>
      </w:r>
    </w:p>
    <w:p w14:paraId="566DEE84" w14:textId="77777777" w:rsidR="005F4542" w:rsidRDefault="005F4542" w:rsidP="005F4542">
      <w:pPr>
        <w:pStyle w:val="exemplenorme"/>
        <w:ind w:left="993"/>
      </w:pPr>
      <w:proofErr w:type="gramStart"/>
      <w:r>
        <w:t>1968</w:t>
      </w:r>
      <w:proofErr w:type="gramEnd"/>
      <w:r>
        <w:t xml:space="preserve"> European Agreement on the Restriction of the Use of certain Detergents in Washing and Cleaning Products, preamble: “[…] the said governments […] have undertaken to </w:t>
      </w:r>
      <w:proofErr w:type="spellStart"/>
      <w:r>
        <w:t>harmonise</w:t>
      </w:r>
      <w:proofErr w:type="spellEnd"/>
      <w:r>
        <w:t xml:space="preserve"> their national legislations in pursuance of the action mentioned in the foregoing paragraph.”</w:t>
      </w:r>
    </w:p>
    <w:p w14:paraId="39BCD751" w14:textId="77777777" w:rsidR="00FA7323" w:rsidRPr="005F4542" w:rsidRDefault="00FA7323" w:rsidP="0091125C">
      <w:pPr>
        <w:rPr>
          <w:rFonts w:ascii="Palatino Linotype" w:hAnsi="Palatino Linotype"/>
          <w:highlight w:val="white"/>
          <w:lang w:val="en-US"/>
        </w:rPr>
      </w:pPr>
    </w:p>
    <w:p w14:paraId="719523DA" w14:textId="210EFCDD" w:rsidR="00656412" w:rsidRPr="00656412" w:rsidRDefault="00656412" w:rsidP="00656412">
      <w:pPr>
        <w:pStyle w:val="Titre2"/>
        <w:contextualSpacing w:val="0"/>
        <w:rPr>
          <w:rFonts w:ascii="Palatino Linotype" w:hAnsi="Palatino Linotype"/>
          <w:sz w:val="22"/>
          <w:lang w:val="en-CA"/>
        </w:rPr>
      </w:pPr>
      <w:bookmarkStart w:id="40" w:name="_l2op6g1mpma7" w:colFirst="0" w:colLast="0"/>
      <w:bookmarkStart w:id="41" w:name="_Toc501098407"/>
      <w:bookmarkStart w:id="42" w:name="_Toc503952516"/>
      <w:bookmarkEnd w:id="40"/>
      <w:r w:rsidRPr="00656412">
        <w:rPr>
          <w:rFonts w:ascii="Palatino Linotype" w:hAnsi="Palatino Linotype"/>
          <w:sz w:val="22"/>
          <w:lang w:val="en-CA"/>
        </w:rPr>
        <w:t>9.11   Negotiation of other agreements or through other international organization</w:t>
      </w:r>
      <w:bookmarkEnd w:id="41"/>
      <w:r w:rsidRPr="00656412">
        <w:rPr>
          <w:rFonts w:ascii="Palatino Linotype" w:hAnsi="Palatino Linotype"/>
          <w:sz w:val="22"/>
          <w:lang w:val="en-CA"/>
        </w:rPr>
        <w:t>s</w:t>
      </w:r>
      <w:bookmarkEnd w:id="42"/>
    </w:p>
    <w:p w14:paraId="018D4854" w14:textId="77777777" w:rsidR="00656412" w:rsidRDefault="00656412" w:rsidP="00656412">
      <w:pPr>
        <w:pStyle w:val="textenorme"/>
        <w:ind w:left="993" w:hanging="426"/>
      </w:pPr>
      <w:r>
        <w:t xml:space="preserve">Commitment to cooperate in the context of bilateral, regional or multilateral negotiations, including cooperation for negotiations taking place at the WTO Trade and Environment committee. </w:t>
      </w:r>
    </w:p>
    <w:p w14:paraId="241C61CF" w14:textId="77777777" w:rsidR="00656412" w:rsidRDefault="00656412" w:rsidP="00656412">
      <w:pPr>
        <w:pStyle w:val="textenorme"/>
        <w:ind w:left="993" w:hanging="426"/>
      </w:pPr>
      <w:r>
        <w:t>Includes cooperation on agreements related to the environment, trade or other issue-areas.</w:t>
      </w:r>
    </w:p>
    <w:p w14:paraId="6FE10AE1" w14:textId="77777777" w:rsidR="00656412" w:rsidRDefault="00656412" w:rsidP="00656412">
      <w:pPr>
        <w:pStyle w:val="textenorme"/>
        <w:ind w:left="993" w:hanging="426"/>
      </w:pPr>
      <w:r>
        <w:t xml:space="preserve">Includes commitment to collaborate to develop international law. </w:t>
      </w:r>
    </w:p>
    <w:p w14:paraId="276B466C" w14:textId="77777777" w:rsidR="00656412" w:rsidRDefault="00656412" w:rsidP="00656412">
      <w:pPr>
        <w:pStyle w:val="textenorme"/>
        <w:ind w:left="993" w:hanging="426"/>
      </w:pPr>
      <w:r>
        <w:t xml:space="preserve">“Cooperation in other bilateral, regional and multilateral fora” </w:t>
      </w:r>
      <w:proofErr w:type="gramStart"/>
      <w:r>
        <w:t>is considered</w:t>
      </w:r>
      <w:proofErr w:type="gramEnd"/>
      <w:r>
        <w:t xml:space="preserve"> as referencing to negotiation. However, “cooperating with third Parties” is not sufficient.</w:t>
      </w:r>
    </w:p>
    <w:p w14:paraId="59797606" w14:textId="77777777" w:rsidR="00656412" w:rsidRDefault="00656412" w:rsidP="00656412">
      <w:pPr>
        <w:pStyle w:val="textenorme"/>
        <w:ind w:left="993" w:hanging="426"/>
      </w:pPr>
      <w:r>
        <w:t>Includes cooperation in, within or through international organizations - also found in reference to the organization (14.07).</w:t>
      </w:r>
    </w:p>
    <w:p w14:paraId="23B1A763" w14:textId="77777777" w:rsidR="00656412" w:rsidRDefault="00656412" w:rsidP="00656412">
      <w:pPr>
        <w:pStyle w:val="textenorme"/>
        <w:ind w:left="993" w:hanging="426"/>
      </w:pPr>
      <w:r>
        <w:t xml:space="preserve">Merely communicating through an international organization does not mean negotiation/cooperation (see instead 9.02 or 9.03). </w:t>
      </w:r>
    </w:p>
    <w:p w14:paraId="716F4752" w14:textId="77777777" w:rsidR="00656412" w:rsidRDefault="00656412" w:rsidP="00656412">
      <w:pPr>
        <w:pStyle w:val="textenorme"/>
        <w:ind w:left="993" w:hanging="426"/>
      </w:pPr>
      <w:r>
        <w:t xml:space="preserve">Excludes the negotiation of amendments, protocols or annexes to the given agreement (see 9.07, 9.08, 9.09, and 9.10). </w:t>
      </w:r>
    </w:p>
    <w:p w14:paraId="55100422" w14:textId="77777777" w:rsidR="00656412" w:rsidRDefault="00656412" w:rsidP="00656412">
      <w:pPr>
        <w:pStyle w:val="textenorme"/>
        <w:ind w:left="993" w:hanging="426"/>
      </w:pPr>
      <w:r>
        <w:t xml:space="preserve">Excludes additional/separate/subsidiary agreements/protocols/regulations whose purpose is the implementation of certain provisions of the main agreement (see 9.08). </w:t>
      </w:r>
    </w:p>
    <w:p w14:paraId="627B6331" w14:textId="77777777" w:rsidR="00656412" w:rsidRDefault="00656412" w:rsidP="00656412">
      <w:pPr>
        <w:pStyle w:val="textenorme"/>
        <w:ind w:left="993" w:hanging="426"/>
      </w:pPr>
      <w:r>
        <w:t>Excludes when the Parties call for future negotiations about the implementation of the agreement already signed.</w:t>
      </w:r>
    </w:p>
    <w:p w14:paraId="32993CA6" w14:textId="77777777" w:rsidR="00656412" w:rsidRDefault="00656412" w:rsidP="00656412">
      <w:pPr>
        <w:pStyle w:val="textenorme"/>
        <w:ind w:left="993" w:hanging="426"/>
      </w:pPr>
      <w:r>
        <w:t>Excludes negotiation of joint/common/harmonized national regulations (see 9.05 or 9.12).</w:t>
      </w:r>
    </w:p>
    <w:p w14:paraId="3BB86AB8" w14:textId="77777777" w:rsidR="00656412" w:rsidRDefault="00656412" w:rsidP="00656412">
      <w:pPr>
        <w:pStyle w:val="textenorme"/>
        <w:ind w:left="993" w:hanging="426"/>
      </w:pPr>
      <w:r>
        <w:t>Excludes negotiations between companies/private bodies of the Parties, or negotiations between the state Parties and foreign companies/private bodies (see 5.07, 9.12 or 10.05).</w:t>
      </w:r>
    </w:p>
    <w:p w14:paraId="2CE2FA73" w14:textId="77777777" w:rsidR="00656412" w:rsidRDefault="00656412" w:rsidP="00656412">
      <w:pPr>
        <w:pStyle w:val="textenorme"/>
        <w:ind w:left="993" w:hanging="426"/>
      </w:pPr>
      <w:r>
        <w:t>Excludes negotiations for (or in the process of) dispute settlement (see section 13).</w:t>
      </w:r>
    </w:p>
    <w:p w14:paraId="1AAECCF2" w14:textId="77777777" w:rsidR="00656412" w:rsidRDefault="00656412" w:rsidP="00656412">
      <w:pPr>
        <w:pStyle w:val="textenorme"/>
        <w:ind w:left="993" w:hanging="426"/>
      </w:pPr>
      <w:r>
        <w:t xml:space="preserve">Excludes negotiations for seat/headquarters agreement (“accord de </w:t>
      </w:r>
      <w:proofErr w:type="spellStart"/>
      <w:r>
        <w:t>siège</w:t>
      </w:r>
      <w:proofErr w:type="spellEnd"/>
      <w:r>
        <w:t>”) with the organization created (see section 12 or 14.01).</w:t>
      </w:r>
    </w:p>
    <w:p w14:paraId="3EF9181C" w14:textId="77777777" w:rsidR="00656412" w:rsidRDefault="00656412" w:rsidP="00656412">
      <w:pPr>
        <w:pStyle w:val="introduction"/>
      </w:pPr>
    </w:p>
    <w:p w14:paraId="6CF64C7A" w14:textId="77777777" w:rsidR="00FA7323" w:rsidRPr="00656412" w:rsidRDefault="008A0520" w:rsidP="00656412">
      <w:pPr>
        <w:pStyle w:val="titresoussousnormedites"/>
        <w:ind w:left="567"/>
      </w:pPr>
      <w:bookmarkStart w:id="43" w:name="_Toc503952517"/>
      <w:r w:rsidRPr="007811A2">
        <w:t>9.11.01 N</w:t>
      </w:r>
      <w:r w:rsidRPr="00656412">
        <w:t>egotiation on health matters</w:t>
      </w:r>
      <w:bookmarkEnd w:id="43"/>
    </w:p>
    <w:p w14:paraId="3FE0E400" w14:textId="77777777" w:rsidR="00FA7323" w:rsidRPr="00656412" w:rsidRDefault="008A0520" w:rsidP="00656412">
      <w:pPr>
        <w:pStyle w:val="textenorme"/>
        <w:ind w:left="993" w:hanging="426"/>
      </w:pPr>
      <w:r w:rsidRPr="00656412">
        <w:t>Includes cooperation/negotiation in/within/through health-related organizations (criteria for health-related organizations are found in</w:t>
      </w:r>
      <w:r w:rsidR="00C73913" w:rsidRPr="00656412">
        <w:t xml:space="preserve"> 14.01.01 or 14.07.01</w:t>
      </w:r>
      <w:r w:rsidRPr="00656412">
        <w:t>).</w:t>
      </w:r>
    </w:p>
    <w:p w14:paraId="2FA917DC" w14:textId="587F2C4E" w:rsidR="00FA7323" w:rsidRPr="001E0675" w:rsidRDefault="008A0520" w:rsidP="001E0675">
      <w:pPr>
        <w:pStyle w:val="exemplenorme"/>
        <w:ind w:left="993"/>
      </w:pPr>
      <w:r w:rsidRPr="001E0675">
        <w:t>[No example]</w:t>
      </w:r>
      <w:bookmarkStart w:id="44" w:name="_ctcxtmboauyx" w:colFirst="0" w:colLast="0"/>
      <w:bookmarkEnd w:id="44"/>
    </w:p>
    <w:p w14:paraId="35D1ACCC" w14:textId="268470CB" w:rsidR="00FA7323" w:rsidRPr="00080F2E" w:rsidRDefault="00FA7323" w:rsidP="0091125C">
      <w:pPr>
        <w:rPr>
          <w:rFonts w:ascii="Palatino Linotype" w:hAnsi="Palatino Linotype"/>
          <w:lang w:val="en-CA"/>
        </w:rPr>
      </w:pPr>
      <w:bookmarkStart w:id="45" w:name="_qsj9y0p84d52" w:colFirst="0" w:colLast="0"/>
      <w:bookmarkStart w:id="46" w:name="_4q2v8a1ijxbx" w:colFirst="0" w:colLast="0"/>
      <w:bookmarkStart w:id="47" w:name="_i0kzhcjqoxt7" w:colFirst="0" w:colLast="0"/>
      <w:bookmarkStart w:id="48" w:name="_s6z85oirb4ru" w:colFirst="0" w:colLast="0"/>
      <w:bookmarkStart w:id="49" w:name="_o9ixueszvnjp" w:colFirst="0" w:colLast="0"/>
      <w:bookmarkEnd w:id="45"/>
      <w:bookmarkEnd w:id="46"/>
      <w:bookmarkEnd w:id="47"/>
      <w:bookmarkEnd w:id="48"/>
      <w:bookmarkEnd w:id="49"/>
    </w:p>
    <w:p w14:paraId="4C73C4C7" w14:textId="77777777" w:rsidR="00CF23EB" w:rsidRPr="007F5F2C" w:rsidRDefault="00CF23EB" w:rsidP="00CF23EB">
      <w:pPr>
        <w:pStyle w:val="Titrenorme0"/>
        <w:tabs>
          <w:tab w:val="left" w:pos="567"/>
        </w:tabs>
      </w:pPr>
      <w:bookmarkStart w:id="50" w:name="_xzsv8qlzo2bk" w:colFirst="0" w:colLast="0"/>
      <w:bookmarkStart w:id="51" w:name="_Toc503863097"/>
      <w:bookmarkStart w:id="52" w:name="_Toc503952518"/>
      <w:bookmarkEnd w:id="50"/>
      <w:r>
        <w:t>14.</w:t>
      </w:r>
      <w:r>
        <w:tab/>
      </w:r>
      <w:r w:rsidRPr="007F5F2C">
        <w:t>References to other international institutions</w:t>
      </w:r>
      <w:bookmarkEnd w:id="51"/>
      <w:bookmarkEnd w:id="52"/>
      <w:r w:rsidRPr="007F5F2C">
        <w:t xml:space="preserve"> </w:t>
      </w:r>
    </w:p>
    <w:p w14:paraId="1050D8DE" w14:textId="7308D0A7" w:rsidR="00CF23EB" w:rsidRPr="00EE610E" w:rsidRDefault="00CF23EB" w:rsidP="00CF23EB">
      <w:pPr>
        <w:pStyle w:val="introduction"/>
        <w:ind w:left="567"/>
      </w:pPr>
      <w:r w:rsidRPr="00EE610E">
        <w:t>Excludes references to agreements that are too vague (e</w:t>
      </w:r>
      <w:r w:rsidR="00B50620">
        <w:t>.</w:t>
      </w:r>
      <w:r w:rsidRPr="00EE610E">
        <w:t>g. Reference to “other agreements” or “bilateral agreements” without more details).</w:t>
      </w:r>
    </w:p>
    <w:p w14:paraId="089C7692" w14:textId="77777777" w:rsidR="00CF23EB" w:rsidRPr="00EE610E" w:rsidRDefault="00CF23EB" w:rsidP="00CF23EB">
      <w:pPr>
        <w:pStyle w:val="introduction"/>
        <w:ind w:left="567"/>
      </w:pPr>
      <w:r w:rsidRPr="00EE610E">
        <w:t xml:space="preserve">Throughout section 14, the following institutions </w:t>
      </w:r>
      <w:proofErr w:type="gramStart"/>
      <w:r w:rsidRPr="00EE610E">
        <w:t>are considered</w:t>
      </w:r>
      <w:proofErr w:type="gramEnd"/>
      <w:r w:rsidRPr="00EE610E">
        <w:t xml:space="preserve"> as:</w:t>
      </w:r>
    </w:p>
    <w:p w14:paraId="757D822C" w14:textId="77777777" w:rsidR="00CF23EB" w:rsidRDefault="00CF23EB" w:rsidP="00CF23EB">
      <w:pPr>
        <w:pStyle w:val="introduction"/>
        <w:ind w:left="567"/>
      </w:pPr>
      <w:r>
        <w:t xml:space="preserve">TRADE </w:t>
      </w:r>
    </w:p>
    <w:p w14:paraId="6AF7C898" w14:textId="77777777" w:rsidR="00CF23EB" w:rsidRDefault="00CF23EB" w:rsidP="00CF23EB">
      <w:pPr>
        <w:pStyle w:val="introduction"/>
        <w:numPr>
          <w:ilvl w:val="0"/>
          <w:numId w:val="47"/>
        </w:numPr>
        <w:ind w:left="1134"/>
      </w:pPr>
      <w:r w:rsidRPr="00EE610E">
        <w:t>European Economic Community (EEC): “trade” - when in an international context.</w:t>
      </w:r>
    </w:p>
    <w:p w14:paraId="3ED75DBD" w14:textId="77777777" w:rsidR="00CF23EB" w:rsidRDefault="00CF23EB" w:rsidP="00CF23EB">
      <w:pPr>
        <w:pStyle w:val="introduction"/>
        <w:numPr>
          <w:ilvl w:val="0"/>
          <w:numId w:val="47"/>
        </w:numPr>
        <w:ind w:left="1134"/>
      </w:pPr>
      <w:r w:rsidRPr="00EE610E">
        <w:t>UN Economic Commissions (for Europe, Africa, etc.): “trade” - not other.</w:t>
      </w:r>
    </w:p>
    <w:p w14:paraId="6733F280" w14:textId="77777777" w:rsidR="00CF23EB" w:rsidRDefault="00CF23EB" w:rsidP="00CF23EB">
      <w:pPr>
        <w:pStyle w:val="introduction"/>
        <w:numPr>
          <w:ilvl w:val="0"/>
          <w:numId w:val="47"/>
        </w:numPr>
        <w:ind w:left="1134"/>
      </w:pPr>
      <w:r w:rsidRPr="00EE610E">
        <w:t>SADC: trade - not other.</w:t>
      </w:r>
    </w:p>
    <w:p w14:paraId="4EEB0658" w14:textId="77777777" w:rsidR="00CF23EB" w:rsidRDefault="00CF23EB" w:rsidP="00CF23EB">
      <w:pPr>
        <w:pStyle w:val="introduction"/>
        <w:numPr>
          <w:ilvl w:val="0"/>
          <w:numId w:val="47"/>
        </w:numPr>
        <w:ind w:left="1134"/>
      </w:pPr>
      <w:r w:rsidRPr="00EE610E">
        <w:t xml:space="preserve">CARICOM: trade - not other. </w:t>
      </w:r>
    </w:p>
    <w:p w14:paraId="295F42C0" w14:textId="77777777" w:rsidR="00CF23EB" w:rsidRDefault="00CF23EB" w:rsidP="00CF23EB">
      <w:pPr>
        <w:pStyle w:val="introduction"/>
        <w:numPr>
          <w:ilvl w:val="0"/>
          <w:numId w:val="47"/>
        </w:numPr>
        <w:ind w:left="1134"/>
      </w:pPr>
      <w:r w:rsidRPr="00EE610E">
        <w:t>Andean Community (CAN): “trade” - not other.</w:t>
      </w:r>
    </w:p>
    <w:p w14:paraId="46907EFD" w14:textId="77777777" w:rsidR="00CF23EB" w:rsidRPr="00EE610E" w:rsidRDefault="00CF23EB" w:rsidP="00CF23EB">
      <w:pPr>
        <w:pStyle w:val="introduction"/>
        <w:numPr>
          <w:ilvl w:val="0"/>
          <w:numId w:val="47"/>
        </w:numPr>
        <w:ind w:left="1134"/>
      </w:pPr>
      <w:r w:rsidRPr="00EE610E">
        <w:lastRenderedPageBreak/>
        <w:t>Lomé Convention: “trade” - not other.</w:t>
      </w:r>
    </w:p>
    <w:p w14:paraId="30649570" w14:textId="77777777" w:rsidR="00CF23EB" w:rsidRPr="00EE610E" w:rsidRDefault="00CF23EB" w:rsidP="00CF23EB">
      <w:pPr>
        <w:pStyle w:val="introduction"/>
        <w:ind w:left="567"/>
      </w:pPr>
      <w:r w:rsidRPr="00EE610E">
        <w:t>ENVIRONMENTAL</w:t>
      </w:r>
    </w:p>
    <w:p w14:paraId="1DC5C840" w14:textId="77777777" w:rsidR="00CF23EB" w:rsidRDefault="00CF23EB" w:rsidP="00CF23EB">
      <w:pPr>
        <w:pStyle w:val="introduction"/>
        <w:numPr>
          <w:ilvl w:val="0"/>
          <w:numId w:val="47"/>
        </w:numPr>
        <w:ind w:left="1134"/>
      </w:pPr>
      <w:r w:rsidRPr="00EE610E">
        <w:t>International Council for the Exploration of the Sea (ICES): “environmental” - not other.</w:t>
      </w:r>
    </w:p>
    <w:p w14:paraId="479FFB91" w14:textId="77777777" w:rsidR="00CF23EB" w:rsidRPr="00EE610E" w:rsidRDefault="00CF23EB" w:rsidP="00CF23EB">
      <w:pPr>
        <w:pStyle w:val="introduction"/>
        <w:numPr>
          <w:ilvl w:val="0"/>
          <w:numId w:val="47"/>
        </w:numPr>
        <w:ind w:left="1134"/>
      </w:pPr>
      <w:r w:rsidRPr="00EE610E">
        <w:t>World Meteorological Organization (WMO): “environmental” - not other.</w:t>
      </w:r>
    </w:p>
    <w:p w14:paraId="5F82CBFB" w14:textId="77777777" w:rsidR="00CF23EB" w:rsidRDefault="00CF23EB" w:rsidP="00CF23EB">
      <w:pPr>
        <w:pStyle w:val="introduction"/>
        <w:ind w:left="567"/>
      </w:pPr>
      <w:r>
        <w:t>OTHER</w:t>
      </w:r>
    </w:p>
    <w:p w14:paraId="37D84203" w14:textId="77777777" w:rsidR="00CF23EB" w:rsidRDefault="00CF23EB" w:rsidP="00CF23EB">
      <w:pPr>
        <w:pStyle w:val="introduction"/>
        <w:numPr>
          <w:ilvl w:val="0"/>
          <w:numId w:val="47"/>
        </w:numPr>
        <w:ind w:left="1134"/>
      </w:pPr>
      <w:r w:rsidRPr="00EE610E">
        <w:t>Food and Agriculture Organization (FAO): “other” - not environment or health.</w:t>
      </w:r>
    </w:p>
    <w:p w14:paraId="7E694128" w14:textId="77777777" w:rsidR="00CF23EB" w:rsidRDefault="00CF23EB" w:rsidP="00CF23EB">
      <w:pPr>
        <w:pStyle w:val="introduction"/>
        <w:numPr>
          <w:ilvl w:val="0"/>
          <w:numId w:val="47"/>
        </w:numPr>
        <w:ind w:left="1134"/>
      </w:pPr>
      <w:r w:rsidRPr="00EE610E">
        <w:t>International Maritime Organization (IMO) &amp; IMCO: “other” - not environmental.</w:t>
      </w:r>
    </w:p>
    <w:p w14:paraId="26F59418" w14:textId="77777777" w:rsidR="00CF23EB" w:rsidRDefault="00CF23EB" w:rsidP="00CF23EB">
      <w:pPr>
        <w:pStyle w:val="introduction"/>
        <w:numPr>
          <w:ilvl w:val="0"/>
          <w:numId w:val="47"/>
        </w:numPr>
        <w:ind w:left="1134"/>
      </w:pPr>
      <w:r w:rsidRPr="00EE610E">
        <w:t>UNCLOS (the 1982 Montego Bay Convention): “other” - not “environmental.</w:t>
      </w:r>
    </w:p>
    <w:p w14:paraId="363F1A3C" w14:textId="77777777" w:rsidR="00CF23EB" w:rsidRDefault="00CF23EB" w:rsidP="00CF23EB">
      <w:pPr>
        <w:pStyle w:val="introduction"/>
        <w:numPr>
          <w:ilvl w:val="0"/>
          <w:numId w:val="47"/>
        </w:numPr>
        <w:ind w:left="1134"/>
      </w:pPr>
      <w:r w:rsidRPr="00EE610E">
        <w:t>International Labor Organization (ILO): “other” - not trade.</w:t>
      </w:r>
    </w:p>
    <w:p w14:paraId="2DDE4E82" w14:textId="77777777" w:rsidR="00CF23EB" w:rsidRDefault="00CF23EB" w:rsidP="00CF23EB">
      <w:pPr>
        <w:pStyle w:val="introduction"/>
        <w:numPr>
          <w:ilvl w:val="0"/>
          <w:numId w:val="47"/>
        </w:numPr>
        <w:ind w:left="1134"/>
      </w:pPr>
      <w:r w:rsidRPr="00EE610E">
        <w:t>IFIs (World Bank and/or IMF): “other” - not trade.</w:t>
      </w:r>
    </w:p>
    <w:p w14:paraId="44769B7B" w14:textId="77777777" w:rsidR="00CF23EB" w:rsidRDefault="00CF23EB" w:rsidP="00CF23EB">
      <w:pPr>
        <w:pStyle w:val="introduction"/>
        <w:numPr>
          <w:ilvl w:val="0"/>
          <w:numId w:val="47"/>
        </w:numPr>
        <w:ind w:left="1134"/>
      </w:pPr>
      <w:r w:rsidRPr="00EE610E">
        <w:t>OECD &amp; OEEC: other - not trade.</w:t>
      </w:r>
    </w:p>
    <w:p w14:paraId="153797C0" w14:textId="77777777" w:rsidR="00CF23EB" w:rsidRDefault="00CF23EB" w:rsidP="00CF23EB">
      <w:pPr>
        <w:pStyle w:val="introduction"/>
        <w:numPr>
          <w:ilvl w:val="0"/>
          <w:numId w:val="47"/>
        </w:numPr>
        <w:ind w:left="1134"/>
      </w:pPr>
      <w:r w:rsidRPr="00EE610E">
        <w:t>European Communities (EC), European Union (EU): “other” - when in an international context.</w:t>
      </w:r>
    </w:p>
    <w:p w14:paraId="10C560F7" w14:textId="77777777" w:rsidR="00CF23EB" w:rsidRDefault="00CF23EB" w:rsidP="00CF23EB">
      <w:pPr>
        <w:pStyle w:val="introduction"/>
        <w:numPr>
          <w:ilvl w:val="0"/>
          <w:numId w:val="47"/>
        </w:numPr>
        <w:ind w:left="1134"/>
      </w:pPr>
      <w:r w:rsidRPr="00EE610E">
        <w:t>AIEA and the Non-Proliferation Treaty (NPT): other – not environment.</w:t>
      </w:r>
    </w:p>
    <w:p w14:paraId="7F25B0C1" w14:textId="77777777" w:rsidR="00CF23EB" w:rsidRDefault="00CF23EB" w:rsidP="00CF23EB">
      <w:pPr>
        <w:pStyle w:val="introduction"/>
        <w:ind w:left="567"/>
      </w:pPr>
    </w:p>
    <w:p w14:paraId="63FAD1D3" w14:textId="77777777" w:rsidR="00CF23EB" w:rsidRPr="00B84DC5" w:rsidRDefault="00CF23EB" w:rsidP="00CF23EB">
      <w:pPr>
        <w:pStyle w:val="titresousnormedites"/>
      </w:pPr>
      <w:bookmarkStart w:id="53" w:name="_Toc484439230"/>
      <w:bookmarkStart w:id="54" w:name="_Toc501098460"/>
      <w:bookmarkStart w:id="55" w:name="_Toc503863098"/>
      <w:bookmarkStart w:id="56" w:name="_Toc503952519"/>
      <w:r>
        <w:t xml:space="preserve">14.01 </w:t>
      </w:r>
      <w:r w:rsidRPr="00B84DC5">
        <w:t>Cooperation with other international institutions</w:t>
      </w:r>
      <w:bookmarkEnd w:id="53"/>
      <w:bookmarkEnd w:id="54"/>
      <w:bookmarkEnd w:id="55"/>
      <w:bookmarkEnd w:id="56"/>
      <w:r w:rsidRPr="00B84DC5">
        <w:t xml:space="preserve"> </w:t>
      </w:r>
    </w:p>
    <w:p w14:paraId="28507348" w14:textId="77777777" w:rsidR="00CF23EB" w:rsidRPr="002D6EC3" w:rsidRDefault="00CF23EB" w:rsidP="00CF23EB">
      <w:pPr>
        <w:pStyle w:val="textenorme"/>
        <w:ind w:left="993" w:hanging="426"/>
      </w:pPr>
      <w:r w:rsidRPr="002D6EC3">
        <w:t>Includes provision</w:t>
      </w:r>
      <w:r>
        <w:t>s that compel or encourage the P</w:t>
      </w:r>
      <w:r w:rsidRPr="002D6EC3">
        <w:t>arties to cooperate with international organizations.</w:t>
      </w:r>
    </w:p>
    <w:p w14:paraId="31634CA7" w14:textId="77777777" w:rsidR="00CF23EB" w:rsidRPr="002D6EC3" w:rsidRDefault="00CF23EB" w:rsidP="00CF23EB">
      <w:pPr>
        <w:pStyle w:val="textenorme"/>
        <w:ind w:left="993" w:hanging="426"/>
      </w:pPr>
      <w:r w:rsidRPr="002D6EC3">
        <w:t>Includes provisions that mention the possibility for the institution created to cooperate with other international institutions.</w:t>
      </w:r>
    </w:p>
    <w:p w14:paraId="49805EAF" w14:textId="77777777" w:rsidR="00CF23EB" w:rsidRPr="002D6EC3" w:rsidRDefault="00CF23EB" w:rsidP="00CF23EB">
      <w:pPr>
        <w:pStyle w:val="textenorme"/>
        <w:ind w:left="993" w:hanging="426"/>
      </w:pPr>
      <w:r w:rsidRPr="002D6EC3">
        <w:t>Includes provisions identifying international institutions as a service provid</w:t>
      </w:r>
      <w:r>
        <w:t>er (e.g. secretariat, etc.</w:t>
      </w:r>
      <w:r w:rsidRPr="002D6EC3">
        <w:t>) for the agreement.</w:t>
      </w:r>
    </w:p>
    <w:p w14:paraId="5CBD4C5E" w14:textId="77777777" w:rsidR="00CF23EB" w:rsidRDefault="00CF23EB" w:rsidP="00CF23EB">
      <w:pPr>
        <w:pStyle w:val="textenorme"/>
        <w:ind w:left="993" w:hanging="426"/>
      </w:pPr>
      <w:r w:rsidRPr="002D6EC3">
        <w:t>Includes provisions on the participation of other institutions in the meetings/projects of the institution created, or allowing representatives from other institutions on a board/committee of the institution created, except when such an organization (e.g. EC/EU) replaces its member states or acts on their behalf (see also 10.01, 12).</w:t>
      </w:r>
    </w:p>
    <w:p w14:paraId="6527A875" w14:textId="77777777" w:rsidR="00CF23EB" w:rsidRPr="002D6EC3" w:rsidRDefault="00CF23EB" w:rsidP="00CF23EB">
      <w:pPr>
        <w:pStyle w:val="textenorme"/>
        <w:ind w:left="993" w:hanging="426"/>
      </w:pPr>
      <w:r>
        <w:t>Cooperation with another international institution can be temporary.</w:t>
      </w:r>
    </w:p>
    <w:p w14:paraId="3D768970" w14:textId="77777777" w:rsidR="00CF23EB" w:rsidRPr="002D6EC3" w:rsidRDefault="00CF23EB" w:rsidP="00CF23EB">
      <w:pPr>
        <w:pStyle w:val="textenorme"/>
        <w:ind w:left="993" w:hanging="426"/>
      </w:pPr>
      <w:r w:rsidRPr="002D6EC3">
        <w:t xml:space="preserve">Reporting or communicating information to an organization is insufficient to establish cooperation (see </w:t>
      </w:r>
      <w:r>
        <w:t xml:space="preserve">14.07) but the exchange of comments with another organization </w:t>
      </w:r>
      <w:proofErr w:type="gramStart"/>
      <w:r>
        <w:t>is considered</w:t>
      </w:r>
      <w:proofErr w:type="gramEnd"/>
      <w:r>
        <w:t xml:space="preserve"> cooperation.</w:t>
      </w:r>
    </w:p>
    <w:p w14:paraId="07836DF9" w14:textId="77777777" w:rsidR="00CF23EB" w:rsidRPr="002D6EC3" w:rsidRDefault="00CF23EB" w:rsidP="00CF23EB">
      <w:pPr>
        <w:pStyle w:val="textenorme"/>
        <w:ind w:left="993" w:hanging="426"/>
      </w:pPr>
      <w:r w:rsidRPr="002D6EC3">
        <w:t>Excludes rules about the legal personality of the institutions.</w:t>
      </w:r>
    </w:p>
    <w:p w14:paraId="581EAC97" w14:textId="77777777" w:rsidR="00CF23EB" w:rsidRPr="002D6EC3" w:rsidRDefault="00CF23EB" w:rsidP="00CF23EB">
      <w:pPr>
        <w:pStyle w:val="textenorme"/>
        <w:ind w:left="993" w:hanging="426"/>
      </w:pPr>
      <w:r w:rsidRPr="002D6EC3">
        <w:t xml:space="preserve">Excludes provisions that simply refer to such organizations without citing obligation to cooperate (see 14.07). </w:t>
      </w:r>
    </w:p>
    <w:p w14:paraId="2BD01378" w14:textId="77777777" w:rsidR="00CF23EB" w:rsidRPr="002D6EC3" w:rsidRDefault="00CF23EB" w:rsidP="00CF23EB">
      <w:pPr>
        <w:pStyle w:val="textenorme"/>
        <w:ind w:left="993" w:hanging="426"/>
      </w:pPr>
      <w:r w:rsidRPr="002D6EC3">
        <w:t>Excludes provisions on the fact that IOs can become member of the agreement (see 10.01 and/or 14.07).</w:t>
      </w:r>
    </w:p>
    <w:p w14:paraId="6887AAAC" w14:textId="77777777" w:rsidR="00CF23EB" w:rsidRPr="002D6EC3" w:rsidRDefault="00CF23EB" w:rsidP="00CF23EB">
      <w:pPr>
        <w:pStyle w:val="textenorme"/>
        <w:ind w:left="993" w:hanging="426"/>
      </w:pPr>
      <w:r w:rsidRPr="002D6EC3">
        <w:t xml:space="preserve">Excludes provisions on cooperation through/within (rather than with) an organization (see 9.11). </w:t>
      </w:r>
    </w:p>
    <w:p w14:paraId="37AB7EA6" w14:textId="77777777" w:rsidR="00CF23EB" w:rsidRPr="002D6EC3" w:rsidRDefault="00CF23EB" w:rsidP="00CF23EB">
      <w:pPr>
        <w:pStyle w:val="textenorme"/>
        <w:ind w:left="993" w:hanging="426"/>
      </w:pPr>
      <w:r w:rsidRPr="002D6EC3">
        <w:t>Using one-time data or standards from an organization is not sufficient to establish cooperation (see 14.07).</w:t>
      </w:r>
    </w:p>
    <w:p w14:paraId="49266AF0" w14:textId="77777777" w:rsidR="00CF23EB" w:rsidRPr="002D6EC3" w:rsidRDefault="00CF23EB" w:rsidP="00CF23EB">
      <w:pPr>
        <w:pStyle w:val="textenorme"/>
        <w:ind w:left="993" w:hanging="426"/>
      </w:pPr>
      <w:r w:rsidRPr="002D6EC3">
        <w:t>Excludes cooperation with an international tribunal for dispute settlement (see 13.04).</w:t>
      </w:r>
    </w:p>
    <w:p w14:paraId="61E161B6" w14:textId="77777777" w:rsidR="00CF23EB" w:rsidRDefault="00CF23EB" w:rsidP="00CF23EB">
      <w:pPr>
        <w:pStyle w:val="textenorme"/>
        <w:ind w:left="993" w:hanging="426"/>
      </w:pPr>
      <w:r w:rsidRPr="002D6EC3">
        <w:t xml:space="preserve">Excludes provisions merely asking other international institutions (not the ones created in the treaty) to cooperate. </w:t>
      </w:r>
    </w:p>
    <w:p w14:paraId="01C579BB" w14:textId="77777777" w:rsidR="00FA7323" w:rsidRPr="00CF23EB" w:rsidRDefault="00FA7323" w:rsidP="0091125C">
      <w:pPr>
        <w:rPr>
          <w:rFonts w:ascii="Palatino Linotype" w:hAnsi="Palatino Linotype"/>
          <w:lang w:val="en-US"/>
        </w:rPr>
      </w:pPr>
    </w:p>
    <w:p w14:paraId="2F6873F2" w14:textId="77777777" w:rsidR="00CF23EB" w:rsidRPr="002D6EC3" w:rsidRDefault="00CF23EB" w:rsidP="00CF23EB">
      <w:pPr>
        <w:pStyle w:val="titresoussousnormedites"/>
        <w:ind w:left="567"/>
        <w:rPr>
          <w:sz w:val="18"/>
          <w:szCs w:val="22"/>
        </w:rPr>
      </w:pPr>
      <w:bookmarkStart w:id="57" w:name="_Toc501098461"/>
      <w:bookmarkStart w:id="58" w:name="_Toc503952520"/>
      <w:r>
        <w:t xml:space="preserve">14.01.01 </w:t>
      </w:r>
      <w:r w:rsidRPr="002D6EC3">
        <w:t>Cooperation with international health institutions</w:t>
      </w:r>
      <w:bookmarkEnd w:id="57"/>
      <w:bookmarkEnd w:id="58"/>
      <w:r w:rsidRPr="002D6EC3">
        <w:rPr>
          <w:sz w:val="18"/>
          <w:szCs w:val="22"/>
        </w:rPr>
        <w:t xml:space="preserve"> </w:t>
      </w:r>
    </w:p>
    <w:p w14:paraId="5534DB89" w14:textId="77777777" w:rsidR="00CF23EB" w:rsidRPr="007C5E9C" w:rsidRDefault="00CF23EB" w:rsidP="00CF23EB">
      <w:pPr>
        <w:rPr>
          <w:lang w:val="en-CA"/>
        </w:rPr>
      </w:pPr>
    </w:p>
    <w:p w14:paraId="67D701B1" w14:textId="77777777" w:rsidR="00CF23EB" w:rsidRPr="002D6EC3" w:rsidRDefault="00CF23EB" w:rsidP="00CF23EB">
      <w:pPr>
        <w:pStyle w:val="minimormedites"/>
        <w:tabs>
          <w:tab w:val="clear" w:pos="559"/>
          <w:tab w:val="left" w:pos="1276"/>
        </w:tabs>
        <w:ind w:firstLine="715"/>
      </w:pPr>
      <w:r>
        <w:t xml:space="preserve">14.01.01.01 </w:t>
      </w:r>
      <w:r w:rsidRPr="002D6EC3">
        <w:t>Cooperation with WHO</w:t>
      </w:r>
    </w:p>
    <w:p w14:paraId="3E68C4DC" w14:textId="77777777" w:rsidR="00CF23EB" w:rsidRPr="002D6EC3" w:rsidRDefault="00CF23EB" w:rsidP="00CF23EB">
      <w:pPr>
        <w:pStyle w:val="textemininorme"/>
        <w:ind w:left="1701" w:hanging="425"/>
      </w:pPr>
      <w:r w:rsidRPr="002D6EC3">
        <w:t>World Health Organization.</w:t>
      </w:r>
    </w:p>
    <w:p w14:paraId="5454F26E" w14:textId="77777777" w:rsidR="00CF23EB" w:rsidRPr="002D6EC3" w:rsidRDefault="00CF23EB" w:rsidP="00CF23EB">
      <w:pPr>
        <w:pStyle w:val="textemininorme"/>
        <w:ind w:left="1701" w:hanging="425"/>
      </w:pPr>
      <w:r w:rsidRPr="002D6EC3">
        <w:t>Includes WHO-related institutions.</w:t>
      </w:r>
    </w:p>
    <w:p w14:paraId="59E53CE0" w14:textId="77777777" w:rsidR="00CF23EB" w:rsidRPr="00D05E3C" w:rsidRDefault="00CF23EB" w:rsidP="00CF23EB">
      <w:pPr>
        <w:pStyle w:val="Sansinterligne"/>
        <w:ind w:left="1701"/>
        <w:rPr>
          <w:lang w:val="en-CA"/>
        </w:rPr>
      </w:pPr>
      <w:bookmarkStart w:id="59" w:name="_h7cpa2fusd6" w:colFirst="0" w:colLast="0"/>
      <w:bookmarkEnd w:id="59"/>
      <w:proofErr w:type="gramStart"/>
      <w:r w:rsidRPr="00D05E3C">
        <w:rPr>
          <w:lang w:val="en-CA"/>
        </w:rPr>
        <w:lastRenderedPageBreak/>
        <w:t>1985</w:t>
      </w:r>
      <w:proofErr w:type="gramEnd"/>
      <w:r w:rsidRPr="00D05E3C">
        <w:rPr>
          <w:lang w:val="en-CA"/>
        </w:rPr>
        <w:t xml:space="preserve"> Vienna Convention for the Protection of the Ozone Layer, art 6(4): “The Conference of the Parties shall keep under continuous review the implementation of this Convention, and [...] shall [...] seek [...] the services of competent international bodies [...] in particular […] the World Health Organization.”</w:t>
      </w:r>
    </w:p>
    <w:p w14:paraId="4A5D5230" w14:textId="77777777" w:rsidR="00CF23EB" w:rsidRPr="007C5E9C" w:rsidRDefault="00CF23EB" w:rsidP="00CF23EB">
      <w:pPr>
        <w:rPr>
          <w:lang w:val="en-CA"/>
        </w:rPr>
      </w:pPr>
      <w:bookmarkStart w:id="60" w:name="_9m1a8p543x" w:colFirst="0" w:colLast="0"/>
      <w:bookmarkEnd w:id="60"/>
    </w:p>
    <w:p w14:paraId="7926DC18" w14:textId="77777777" w:rsidR="00CF23EB" w:rsidRPr="0060339B" w:rsidRDefault="00CF23EB" w:rsidP="00CF23EB">
      <w:pPr>
        <w:pStyle w:val="minimormedites"/>
        <w:tabs>
          <w:tab w:val="clear" w:pos="559"/>
          <w:tab w:val="left" w:pos="1276"/>
        </w:tabs>
        <w:ind w:firstLine="715"/>
      </w:pPr>
      <w:r>
        <w:t xml:space="preserve">14.01.01.02 </w:t>
      </w:r>
      <w:r w:rsidRPr="0060339B">
        <w:t>Cooperation with other or unspecified health institutions</w:t>
      </w:r>
    </w:p>
    <w:p w14:paraId="62D66AB2" w14:textId="77777777" w:rsidR="00CF23EB" w:rsidRPr="00D05E3C" w:rsidRDefault="00CF23EB" w:rsidP="00CF23EB">
      <w:pPr>
        <w:pStyle w:val="Sansinterligne"/>
        <w:ind w:left="1701"/>
        <w:rPr>
          <w:lang w:val="en-CA"/>
        </w:rPr>
      </w:pPr>
      <w:r w:rsidRPr="00D05E3C">
        <w:rPr>
          <w:lang w:val="en-CA"/>
        </w:rPr>
        <w:t>2002 Agreement establishing the Caribbean Community Climate Change Centre, art.3(5): “Notwithstanding the provisions of paragraph 3, the [...] Caribbean Environmental Health Institute (CEHI) [...] shall be deemed to have satisfied the requirements for associate membership of the Centre and shall be invited by the Council to participate in the work of the Centre [...]”.</w:t>
      </w:r>
    </w:p>
    <w:p w14:paraId="16FC352E" w14:textId="55B351F6" w:rsidR="00FA7323" w:rsidRPr="00CF23EB" w:rsidRDefault="008A0520" w:rsidP="00CF23EB">
      <w:pPr>
        <w:pStyle w:val="Sansinterligne"/>
        <w:ind w:left="1701"/>
        <w:rPr>
          <w:lang w:val="en-CA"/>
        </w:rPr>
      </w:pPr>
      <w:r w:rsidRPr="00CF23EB">
        <w:rPr>
          <w:lang w:val="en-CA"/>
        </w:rPr>
        <w:tab/>
      </w:r>
    </w:p>
    <w:p w14:paraId="3F5AA658" w14:textId="515802F5" w:rsidR="00CF23EB" w:rsidRPr="002D6EC3" w:rsidRDefault="00CF23EB" w:rsidP="00CF23EB">
      <w:pPr>
        <w:pStyle w:val="titresousnormedites"/>
      </w:pPr>
      <w:bookmarkStart w:id="61" w:name="_9ihuu4hxfi2e" w:colFirst="0" w:colLast="0"/>
      <w:bookmarkStart w:id="62" w:name="_Toc484439235"/>
      <w:bookmarkStart w:id="63" w:name="_Toc501098465"/>
      <w:bookmarkStart w:id="64" w:name="_Toc503952521"/>
      <w:bookmarkEnd w:id="61"/>
      <w:r>
        <w:t xml:space="preserve">14.02 </w:t>
      </w:r>
      <w:r w:rsidRPr="002D6EC3">
        <w:t>Implementation of other international agreements</w:t>
      </w:r>
      <w:bookmarkEnd w:id="62"/>
      <w:bookmarkEnd w:id="63"/>
      <w:bookmarkEnd w:id="64"/>
    </w:p>
    <w:p w14:paraId="13AC660C" w14:textId="77777777" w:rsidR="00CF23EB" w:rsidRPr="002D6EC3" w:rsidRDefault="00CF23EB" w:rsidP="00CF23EB">
      <w:pPr>
        <w:pStyle w:val="textenorme"/>
        <w:ind w:left="993" w:hanging="426"/>
      </w:pPr>
      <w:r w:rsidRPr="002D6EC3">
        <w:t>Includes provisions that incorporate the obligations of cited agreement.</w:t>
      </w:r>
    </w:p>
    <w:p w14:paraId="57D3994C" w14:textId="77777777" w:rsidR="00CF23EB" w:rsidRPr="002D6EC3" w:rsidRDefault="00CF23EB" w:rsidP="00CF23EB">
      <w:pPr>
        <w:pStyle w:val="textenorme"/>
        <w:ind w:left="993" w:hanging="426"/>
      </w:pPr>
      <w:r w:rsidRPr="002D6EC3">
        <w:t>Includes commitments to implement the complete agreement or only some of its substantive obligations.</w:t>
      </w:r>
    </w:p>
    <w:p w14:paraId="6BACE8A0" w14:textId="77777777" w:rsidR="00CF23EB" w:rsidRPr="002D6EC3" w:rsidRDefault="00CF23EB" w:rsidP="00CF23EB">
      <w:pPr>
        <w:pStyle w:val="textenorme"/>
        <w:ind w:left="993" w:hanging="426"/>
      </w:pPr>
      <w:proofErr w:type="gramStart"/>
      <w:r w:rsidRPr="002D6EC3">
        <w:t>Includes wordings such as “reaffirm their commitment to implement X”, “reconfirm their obligations under X”, “reiterate their commitments as established by X”, “recognize that the implementation of X is critical or important”, “ensure that their laws and practices are in harmony with X”, “should be guided by the obligations of X”, “should adopt laws in line with X”, “have the intention to fulfill its obligation under X”, “shall adopt laws to fulfill its obligations under X”, “reaffirm their rights and obligations under X”.</w:t>
      </w:r>
      <w:proofErr w:type="gramEnd"/>
    </w:p>
    <w:p w14:paraId="6365312B" w14:textId="77777777" w:rsidR="00CF23EB" w:rsidRPr="002D6EC3" w:rsidRDefault="00CF23EB" w:rsidP="00CF23EB">
      <w:pPr>
        <w:pStyle w:val="textenorme"/>
        <w:ind w:left="993" w:hanging="426"/>
      </w:pPr>
      <w:r w:rsidRPr="002D6EC3">
        <w:t>“Recalling”, “recognizing” or “considering” the obligations of agreement, “affirming the importance of an agreement” or “acknowledging the adoption of an agreement” is not sufficient to be considered as a commitment to implement (see 14.07).</w:t>
      </w:r>
    </w:p>
    <w:p w14:paraId="3C1C1FF4" w14:textId="77777777" w:rsidR="00CF23EB" w:rsidRPr="002D6EC3" w:rsidRDefault="00CF23EB" w:rsidP="00CF23EB">
      <w:pPr>
        <w:pStyle w:val="textenorme"/>
        <w:ind w:left="993" w:hanging="426"/>
      </w:pPr>
      <w:r w:rsidRPr="002D6EC3">
        <w:t>Referring only to definitions found in an agreement or referring only to</w:t>
      </w:r>
      <w:r>
        <w:t xml:space="preserve"> the objectives of an agreement</w:t>
      </w:r>
      <w:r w:rsidRPr="002D6EC3">
        <w:t xml:space="preserve"> is not sufficient, as they are not “substantive obligations”.</w:t>
      </w:r>
    </w:p>
    <w:p w14:paraId="1E02AB9C" w14:textId="77777777" w:rsidR="00CF23EB" w:rsidRPr="002D6EC3" w:rsidRDefault="00CF23EB" w:rsidP="00CF23EB">
      <w:pPr>
        <w:pStyle w:val="textenorme"/>
        <w:ind w:left="993" w:hanging="426"/>
      </w:pPr>
      <w:r w:rsidRPr="002D6EC3">
        <w:t>Excludes obligation or commitment to accede, join or ratify a specific agreement (see 14.05).</w:t>
      </w:r>
    </w:p>
    <w:p w14:paraId="677E3C96" w14:textId="77777777" w:rsidR="00CF23EB" w:rsidRPr="002D6EC3" w:rsidRDefault="00CF23EB" w:rsidP="00CF23EB">
      <w:pPr>
        <w:pStyle w:val="textenorme"/>
        <w:ind w:left="993" w:hanging="426"/>
      </w:pPr>
      <w:r w:rsidRPr="002D6EC3">
        <w:t>Excluded if implementation of political declaration or domestic decrees (not “international agreements”).</w:t>
      </w:r>
    </w:p>
    <w:p w14:paraId="70E73A2E" w14:textId="77777777" w:rsidR="00CF23EB" w:rsidRPr="002D6EC3" w:rsidRDefault="00CF23EB" w:rsidP="00CF23EB">
      <w:pPr>
        <w:pStyle w:val="textenorme"/>
        <w:ind w:left="993" w:hanging="426"/>
      </w:pPr>
      <w:r w:rsidRPr="002D6EC3">
        <w:t>Excludes provisions defining which sources of law (e.g. specific treaties) should be applied by a court/tribunal/arbitration procedure - e.g. article 38 of the ICJ Statute is not “implementing” anything (see 13.03 and/or 14.07).</w:t>
      </w:r>
    </w:p>
    <w:p w14:paraId="71AFE1EE" w14:textId="77777777" w:rsidR="00CF23EB" w:rsidRPr="002D6EC3" w:rsidRDefault="00CF23EB" w:rsidP="00CF23EB">
      <w:pPr>
        <w:pStyle w:val="textenorme"/>
        <w:ind w:left="993" w:hanging="426"/>
      </w:pPr>
      <w:r w:rsidRPr="002D6EC3">
        <w:t>Excludes application of an arbitration/settlement procedure that is contained in another agreement (e.g. UNCLOS) (see 13.03).</w:t>
      </w:r>
    </w:p>
    <w:p w14:paraId="037B64F8" w14:textId="77777777" w:rsidR="00CF23EB" w:rsidRPr="002D6EC3" w:rsidRDefault="00CF23EB" w:rsidP="00CF23EB">
      <w:pPr>
        <w:pStyle w:val="textenorme"/>
        <w:ind w:left="993" w:hanging="426"/>
      </w:pPr>
      <w:r w:rsidRPr="002D6EC3">
        <w:t>Excludes provisions on respecting EU law (Community law) (excluded when in a context where it is equivalent to national law).</w:t>
      </w:r>
    </w:p>
    <w:p w14:paraId="2FDD3B29" w14:textId="77777777" w:rsidR="00CF23EB" w:rsidRPr="002D6EC3" w:rsidRDefault="00CF23EB" w:rsidP="00CF23EB">
      <w:pPr>
        <w:pStyle w:val="textenorme"/>
        <w:ind w:left="993" w:hanging="426"/>
      </w:pPr>
      <w:r w:rsidRPr="002D6EC3">
        <w:t>Excludes, when an agreement is amending another agreement (or when considering such an eventuality), mere references to amendment clauses in the original agreement - amending an agreement involves “applying” the rules on how to amend the agreement, but not “implementing” the substance of the agreement itself (see 14.07 and/or 9.07).</w:t>
      </w:r>
    </w:p>
    <w:p w14:paraId="55336F28" w14:textId="77777777" w:rsidR="00CF23EB" w:rsidRPr="002D6EC3" w:rsidRDefault="00CF23EB" w:rsidP="00CF23EB">
      <w:pPr>
        <w:pStyle w:val="textenorme"/>
        <w:ind w:left="993" w:hanging="426"/>
      </w:pPr>
      <w:r>
        <w:t>Excludes provisions inviting P</w:t>
      </w:r>
      <w:r w:rsidRPr="002D6EC3">
        <w:t>arties (or ships, or companies, or whatever) to apply decisions</w:t>
      </w:r>
      <w:r>
        <w:t xml:space="preserve"> </w:t>
      </w:r>
      <w:r w:rsidRPr="002D6EC3">
        <w:t>/</w:t>
      </w:r>
      <w:r>
        <w:t xml:space="preserve"> </w:t>
      </w:r>
      <w:r w:rsidRPr="002D6EC3">
        <w:t>norms</w:t>
      </w:r>
      <w:r>
        <w:t xml:space="preserve"> </w:t>
      </w:r>
      <w:r w:rsidRPr="002D6EC3">
        <w:t>/</w:t>
      </w:r>
      <w:r>
        <w:t xml:space="preserve"> </w:t>
      </w:r>
      <w:r w:rsidRPr="002D6EC3">
        <w:t>standards</w:t>
      </w:r>
      <w:r>
        <w:t xml:space="preserve"> </w:t>
      </w:r>
      <w:r w:rsidRPr="002D6EC3">
        <w:t>/</w:t>
      </w:r>
      <w:r>
        <w:t xml:space="preserve"> </w:t>
      </w:r>
      <w:r w:rsidRPr="002D6EC3">
        <w:t>regulations decided by international bodies</w:t>
      </w:r>
      <w:r>
        <w:t xml:space="preserve"> </w:t>
      </w:r>
      <w:r w:rsidRPr="002D6EC3">
        <w:t>/</w:t>
      </w:r>
      <w:r>
        <w:t xml:space="preserve"> </w:t>
      </w:r>
      <w:r w:rsidRPr="002D6EC3">
        <w:t>agencies</w:t>
      </w:r>
      <w:r>
        <w:t xml:space="preserve"> </w:t>
      </w:r>
      <w:r w:rsidRPr="002D6EC3">
        <w:t>/</w:t>
      </w:r>
      <w:r>
        <w:t xml:space="preserve"> </w:t>
      </w:r>
      <w:r w:rsidRPr="002D6EC3">
        <w:t>commissions, as these are not “agreements” being implemented (see 14.07).</w:t>
      </w:r>
    </w:p>
    <w:p w14:paraId="313C3483" w14:textId="77777777" w:rsidR="00CF23EB" w:rsidRPr="002D6EC3" w:rsidRDefault="00CF23EB" w:rsidP="00CF23EB">
      <w:pPr>
        <w:pStyle w:val="textenorme"/>
        <w:ind w:left="993" w:hanging="426"/>
      </w:pPr>
      <w:r w:rsidRPr="002D6EC3">
        <w:lastRenderedPageBreak/>
        <w:t>Excludes procedural aspects (e.g.</w:t>
      </w:r>
      <w:r>
        <w:t xml:space="preserve"> entry into force, notification</w:t>
      </w:r>
      <w:r w:rsidRPr="002D6EC3">
        <w:t>) of amendment resolutions adopted by international bodies</w:t>
      </w:r>
      <w:r>
        <w:t xml:space="preserve"> </w:t>
      </w:r>
      <w:r w:rsidRPr="002D6EC3">
        <w:t>/</w:t>
      </w:r>
      <w:r>
        <w:t xml:space="preserve"> </w:t>
      </w:r>
      <w:r w:rsidRPr="002D6EC3">
        <w:t>commissions to amend an agreement (e.g. MARPOL and CITES amendments) (see 14.07).</w:t>
      </w:r>
    </w:p>
    <w:p w14:paraId="6DB75D67" w14:textId="77777777" w:rsidR="00CF23EB" w:rsidRPr="002D6EC3" w:rsidRDefault="00CF23EB" w:rsidP="00CF23EB">
      <w:pPr>
        <w:pStyle w:val="textenorme"/>
        <w:ind w:left="993" w:hanging="426"/>
      </w:pPr>
      <w:r w:rsidRPr="002D6EC3">
        <w:t>Excludes provisions merely extending in time the application of an agreement, or renewing it (see 8.04).</w:t>
      </w:r>
    </w:p>
    <w:p w14:paraId="2E873420" w14:textId="77777777" w:rsidR="00CF23EB" w:rsidRPr="002D6EC3" w:rsidRDefault="00CF23EB" w:rsidP="00CF23EB">
      <w:pPr>
        <w:pStyle w:val="textenorme"/>
        <w:ind w:left="993" w:hanging="426"/>
      </w:pPr>
      <w:r w:rsidRPr="002D6EC3">
        <w:t>Excludes provisions referring to rules of procedure in another agreement for application within a newly created organization (see 14.07).</w:t>
      </w:r>
    </w:p>
    <w:p w14:paraId="13E78545" w14:textId="77777777" w:rsidR="00CF23EB" w:rsidRPr="002D6EC3" w:rsidRDefault="00CF23EB" w:rsidP="00CF23EB">
      <w:pPr>
        <w:rPr>
          <w:lang w:val="en-CA"/>
        </w:rPr>
      </w:pPr>
    </w:p>
    <w:p w14:paraId="33F07325" w14:textId="77777777" w:rsidR="00CF23EB" w:rsidRPr="002D6EC3" w:rsidRDefault="00CF23EB" w:rsidP="00CF23EB">
      <w:pPr>
        <w:pStyle w:val="titresoussousnormedites"/>
        <w:ind w:firstLine="567"/>
      </w:pPr>
      <w:bookmarkStart w:id="65" w:name="_Toc484439236"/>
      <w:bookmarkStart w:id="66" w:name="_Toc501098466"/>
      <w:bookmarkStart w:id="67" w:name="_Toc503952522"/>
      <w:r>
        <w:t xml:space="preserve">14.02.01 </w:t>
      </w:r>
      <w:r w:rsidRPr="002D6EC3">
        <w:t>Implementation of health agreement</w:t>
      </w:r>
      <w:bookmarkEnd w:id="65"/>
      <w:bookmarkEnd w:id="66"/>
      <w:bookmarkEnd w:id="67"/>
    </w:p>
    <w:p w14:paraId="2A7E2C6F" w14:textId="77777777" w:rsidR="00CF23EB" w:rsidRPr="002D6EC3" w:rsidRDefault="00CF23EB" w:rsidP="00CF23EB">
      <w:pPr>
        <w:pStyle w:val="exemplenorme"/>
        <w:ind w:left="851" w:firstLine="142"/>
      </w:pPr>
      <w:r w:rsidRPr="002D6EC3">
        <w:t>[No example]</w:t>
      </w:r>
    </w:p>
    <w:p w14:paraId="219DF544" w14:textId="77777777" w:rsidR="00FA7323" w:rsidRPr="00CF23EB" w:rsidRDefault="00FA7323" w:rsidP="0091125C">
      <w:pPr>
        <w:rPr>
          <w:rFonts w:ascii="Palatino Linotype" w:hAnsi="Palatino Linotype"/>
          <w:highlight w:val="white"/>
          <w:lang w:val="en-US"/>
        </w:rPr>
      </w:pPr>
    </w:p>
    <w:p w14:paraId="155719FA" w14:textId="5E06E397" w:rsidR="003F71FD" w:rsidRPr="002D6EC3" w:rsidRDefault="003F71FD" w:rsidP="003F71FD">
      <w:pPr>
        <w:pStyle w:val="titresousnormedites"/>
      </w:pPr>
      <w:bookmarkStart w:id="68" w:name="_10kxoro" w:colFirst="0" w:colLast="0"/>
      <w:bookmarkStart w:id="69" w:name="_3kkl7fh" w:colFirst="0" w:colLast="0"/>
      <w:bookmarkStart w:id="70" w:name="_ev0v3herhjev" w:colFirst="0" w:colLast="0"/>
      <w:bookmarkStart w:id="71" w:name="_Toc484439240"/>
      <w:bookmarkStart w:id="72" w:name="_Toc501098470"/>
      <w:bookmarkStart w:id="73" w:name="_Toc503952523"/>
      <w:bookmarkEnd w:id="68"/>
      <w:bookmarkEnd w:id="69"/>
      <w:bookmarkEnd w:id="70"/>
      <w:r>
        <w:t xml:space="preserve">14.03 </w:t>
      </w:r>
      <w:r w:rsidRPr="002D6EC3">
        <w:t>Prevalence of other international agreements</w:t>
      </w:r>
      <w:bookmarkEnd w:id="71"/>
      <w:bookmarkEnd w:id="72"/>
      <w:bookmarkEnd w:id="73"/>
    </w:p>
    <w:p w14:paraId="498C49C9" w14:textId="77777777" w:rsidR="003F71FD" w:rsidRPr="002D6EC3" w:rsidRDefault="003F71FD" w:rsidP="003F71FD">
      <w:pPr>
        <w:pStyle w:val="textenorme"/>
        <w:ind w:left="993" w:hanging="426"/>
      </w:pPr>
      <w:r w:rsidRPr="002D6EC3">
        <w:t xml:space="preserve">Refers to the prevalence of an agreement (or only some of </w:t>
      </w:r>
      <w:r>
        <w:t>its</w:t>
      </w:r>
      <w:r w:rsidRPr="002D6EC3">
        <w:t xml:space="preserve"> obligations) over the environmental agreement (o</w:t>
      </w:r>
      <w:r>
        <w:t>r only some of its obligations)</w:t>
      </w:r>
      <w:r w:rsidRPr="002D6EC3">
        <w:t xml:space="preserve"> in case of conflict or inconsistency. </w:t>
      </w:r>
    </w:p>
    <w:p w14:paraId="25F7862D" w14:textId="77777777" w:rsidR="003F71FD" w:rsidRPr="002D6EC3" w:rsidRDefault="003F71FD" w:rsidP="003F71FD">
      <w:pPr>
        <w:pStyle w:val="textenorme"/>
        <w:ind w:left="993" w:hanging="426"/>
      </w:pPr>
      <w:r w:rsidRPr="002D6EC3">
        <w:t xml:space="preserve">The prevalence can be conditional. </w:t>
      </w:r>
    </w:p>
    <w:p w14:paraId="23E3443E" w14:textId="77777777" w:rsidR="003F71FD" w:rsidRPr="002D6EC3" w:rsidRDefault="003F71FD" w:rsidP="003F71FD">
      <w:pPr>
        <w:pStyle w:val="textenorme"/>
        <w:ind w:left="993" w:hanging="426"/>
      </w:pPr>
      <w:proofErr w:type="gramStart"/>
      <w:r w:rsidRPr="002D6EC3">
        <w:t>Is considered</w:t>
      </w:r>
      <w:proofErr w:type="gramEnd"/>
      <w:r w:rsidRPr="002D6EC3">
        <w:t xml:space="preserve"> as prevalence of agreements: “In the event of any inconsistency between a Party’s obligations under this Agreement and X other agreement, the Party shall seek to balance its obligations under both agreements, but this shall not preclude the Party from taking a particular measure to comply with its obligations under the other agreement”.</w:t>
      </w:r>
    </w:p>
    <w:p w14:paraId="60BDB478" w14:textId="77777777" w:rsidR="003F71FD" w:rsidRPr="002D6EC3" w:rsidRDefault="003F71FD" w:rsidP="003F71FD">
      <w:pPr>
        <w:pStyle w:val="textenorme"/>
        <w:ind w:left="993" w:hanging="426"/>
      </w:pPr>
      <w:proofErr w:type="gramStart"/>
      <w:r w:rsidRPr="002D6EC3">
        <w:t>Is considered</w:t>
      </w:r>
      <w:proofErr w:type="gramEnd"/>
      <w:r w:rsidRPr="002D6EC3">
        <w:t xml:space="preserve"> as prevalence: “nothing in this agreement shall be constructed to affect the existing rights and obligations of the Parties</w:t>
      </w:r>
      <w:r>
        <w:t xml:space="preserve"> under the other agreement X” (t</w:t>
      </w:r>
      <w:r w:rsidRPr="002D6EC3">
        <w:t xml:space="preserve">his guides the interpretation of the current agreement but not the interpretation of the other agreement = asymmetric interpretation). </w:t>
      </w:r>
    </w:p>
    <w:p w14:paraId="68C15767" w14:textId="77777777" w:rsidR="003F71FD" w:rsidRPr="002D6EC3" w:rsidRDefault="003F71FD" w:rsidP="003F71FD">
      <w:pPr>
        <w:pStyle w:val="textenorme"/>
        <w:ind w:left="993" w:hanging="426"/>
      </w:pPr>
      <w:r w:rsidRPr="002D6EC3">
        <w:t xml:space="preserve">A statement that is symmetric, claiming that two treaties are compatible, are not in conflict or that do not prevent the implementation of each other is not a statement on the prevalence. </w:t>
      </w:r>
    </w:p>
    <w:p w14:paraId="5C42F544" w14:textId="77777777" w:rsidR="003F71FD" w:rsidRPr="002D6EC3" w:rsidRDefault="003F71FD" w:rsidP="003F71FD">
      <w:pPr>
        <w:pStyle w:val="textenorme"/>
        <w:ind w:left="993" w:hanging="426"/>
      </w:pPr>
      <w:r w:rsidRPr="002D6EC3">
        <w:t>Excluded if implementation of political declaration or domestic decrees (not “international agreements”).</w:t>
      </w:r>
    </w:p>
    <w:p w14:paraId="0FC80C4B" w14:textId="77777777" w:rsidR="003F71FD" w:rsidRPr="002D6EC3" w:rsidRDefault="003F71FD" w:rsidP="003F71FD">
      <w:pPr>
        <w:pStyle w:val="textenorme"/>
        <w:ind w:left="993" w:hanging="426"/>
      </w:pPr>
      <w:r w:rsidRPr="002D6EC3">
        <w:t>Ignore statement on the absence of hierarchy between agreements, as there can nevertheless be an interpretive prevalence.</w:t>
      </w:r>
    </w:p>
    <w:p w14:paraId="088C63E1" w14:textId="77777777" w:rsidR="003F71FD" w:rsidRPr="002D6EC3" w:rsidRDefault="003F71FD" w:rsidP="003F71FD">
      <w:pPr>
        <w:rPr>
          <w:lang w:val="en-CA"/>
        </w:rPr>
      </w:pPr>
    </w:p>
    <w:p w14:paraId="0CE05EEC" w14:textId="77777777" w:rsidR="003F71FD" w:rsidRPr="002D6EC3" w:rsidRDefault="003F71FD" w:rsidP="003F71FD">
      <w:pPr>
        <w:pStyle w:val="titresoussousnormedites"/>
        <w:ind w:firstLine="567"/>
      </w:pPr>
      <w:bookmarkStart w:id="74" w:name="_Toc484439241"/>
      <w:bookmarkStart w:id="75" w:name="_Toc501098471"/>
      <w:bookmarkStart w:id="76" w:name="_Toc503952524"/>
      <w:r>
        <w:t xml:space="preserve">14.03.01 </w:t>
      </w:r>
      <w:r w:rsidRPr="002D6EC3">
        <w:t>Prevalence of a health agreement</w:t>
      </w:r>
      <w:bookmarkEnd w:id="74"/>
      <w:bookmarkEnd w:id="75"/>
      <w:bookmarkEnd w:id="76"/>
    </w:p>
    <w:p w14:paraId="782278F0" w14:textId="2D6E81B6" w:rsidR="00FA7323" w:rsidRPr="00681AF2" w:rsidRDefault="003F71FD" w:rsidP="00681AF2">
      <w:pPr>
        <w:pStyle w:val="exemplenorme"/>
        <w:ind w:left="851" w:firstLine="142"/>
      </w:pPr>
      <w:r w:rsidRPr="002D6EC3">
        <w:t>[No example]</w:t>
      </w:r>
    </w:p>
    <w:p w14:paraId="63BCBEF2" w14:textId="1B46C22A" w:rsidR="00681AF2" w:rsidRPr="002D6EC3" w:rsidRDefault="00681AF2" w:rsidP="00681AF2">
      <w:pPr>
        <w:pStyle w:val="titresousnormedites"/>
      </w:pPr>
      <w:bookmarkStart w:id="77" w:name="_Toc484439249"/>
      <w:bookmarkStart w:id="78" w:name="_Toc501098479"/>
      <w:bookmarkStart w:id="79" w:name="_Toc503952525"/>
      <w:r>
        <w:t xml:space="preserve">14.05 </w:t>
      </w:r>
      <w:r w:rsidRPr="002D6EC3">
        <w:t>Accession or ratification of other international agreements</w:t>
      </w:r>
      <w:bookmarkEnd w:id="77"/>
      <w:bookmarkEnd w:id="78"/>
      <w:bookmarkEnd w:id="79"/>
    </w:p>
    <w:p w14:paraId="5AF62D1E" w14:textId="77777777" w:rsidR="00681AF2" w:rsidRPr="002D6EC3" w:rsidRDefault="00681AF2" w:rsidP="00681AF2">
      <w:pPr>
        <w:pStyle w:val="textenorme"/>
        <w:ind w:left="993" w:hanging="426"/>
      </w:pPr>
      <w:r w:rsidRPr="002D6EC3">
        <w:t>Includes obligation or commitment to accede, join or ratify a specific agreement.</w:t>
      </w:r>
    </w:p>
    <w:p w14:paraId="312DC49F" w14:textId="77777777" w:rsidR="00681AF2" w:rsidRPr="002D6EC3" w:rsidRDefault="00681AF2" w:rsidP="00681AF2">
      <w:pPr>
        <w:pStyle w:val="textenorme"/>
        <w:ind w:left="993" w:hanging="426"/>
      </w:pPr>
      <w:r w:rsidRPr="002D6EC3">
        <w:t>I</w:t>
      </w:r>
      <w:r>
        <w:t>ncludes the obligation to be a P</w:t>
      </w:r>
      <w:r w:rsidRPr="002D6EC3">
        <w:t>arty of another agreem</w:t>
      </w:r>
      <w:r>
        <w:t>ent when a state wants to be a P</w:t>
      </w:r>
      <w:r w:rsidRPr="002D6EC3">
        <w:t>arty of an agreement.</w:t>
      </w:r>
    </w:p>
    <w:p w14:paraId="43DCD0BE" w14:textId="77777777" w:rsidR="00681AF2" w:rsidRPr="002D6EC3" w:rsidRDefault="00681AF2" w:rsidP="00681AF2">
      <w:pPr>
        <w:pStyle w:val="textenorme"/>
        <w:ind w:left="993" w:hanging="426"/>
      </w:pPr>
      <w:r w:rsidRPr="002D6EC3">
        <w:t xml:space="preserve">Includes if being a </w:t>
      </w:r>
      <w:r>
        <w:t>P</w:t>
      </w:r>
      <w:r w:rsidRPr="002D6EC3">
        <w:t xml:space="preserve">arty to this ‘other agreement’ is just one of several </w:t>
      </w:r>
      <w:r>
        <w:t>ways to qualify for becoming a P</w:t>
      </w:r>
      <w:r w:rsidRPr="002D6EC3">
        <w:t>arty to the agreement.</w:t>
      </w:r>
    </w:p>
    <w:p w14:paraId="0940DFB8" w14:textId="77777777" w:rsidR="00681AF2" w:rsidRPr="002D6EC3" w:rsidRDefault="00681AF2" w:rsidP="00681AF2">
      <w:pPr>
        <w:pStyle w:val="textenorme"/>
        <w:ind w:left="993" w:hanging="426"/>
      </w:pPr>
      <w:r w:rsidRPr="002D6EC3">
        <w:t>Include</w:t>
      </w:r>
      <w:r>
        <w:t>s provisions stating that only P</w:t>
      </w:r>
      <w:r w:rsidRPr="002D6EC3">
        <w:t>arties to</w:t>
      </w:r>
      <w:r>
        <w:t xml:space="preserve"> the main agreement can become P</w:t>
      </w:r>
      <w:r w:rsidRPr="002D6EC3">
        <w:t xml:space="preserve">arty to a protocol. </w:t>
      </w:r>
    </w:p>
    <w:p w14:paraId="18D34F64" w14:textId="77777777" w:rsidR="00681AF2" w:rsidRPr="002D6EC3" w:rsidRDefault="00681AF2" w:rsidP="00681AF2">
      <w:pPr>
        <w:pStyle w:val="textenorme"/>
        <w:ind w:left="993" w:hanging="426"/>
      </w:pPr>
      <w:r w:rsidRPr="002D6EC3">
        <w:t>In</w:t>
      </w:r>
      <w:r>
        <w:t>cludes provisions stating that P</w:t>
      </w:r>
      <w:r w:rsidRPr="002D6EC3">
        <w:t xml:space="preserve">arties withdrawing from another agreement </w:t>
      </w:r>
      <w:proofErr w:type="gramStart"/>
      <w:r w:rsidRPr="002D6EC3">
        <w:t>will be presumed</w:t>
      </w:r>
      <w:proofErr w:type="gramEnd"/>
      <w:r w:rsidRPr="002D6EC3">
        <w:t xml:space="preserve"> having withdrawn from this agreement (or vice versa) (e.g. main agreement / protocol).</w:t>
      </w:r>
    </w:p>
    <w:p w14:paraId="7D9975FB" w14:textId="77777777" w:rsidR="00681AF2" w:rsidRPr="002D6EC3" w:rsidRDefault="00681AF2" w:rsidP="00681AF2">
      <w:pPr>
        <w:pStyle w:val="textenorme"/>
        <w:ind w:left="993" w:hanging="426"/>
      </w:pPr>
      <w:r w:rsidRPr="002D6EC3">
        <w:lastRenderedPageBreak/>
        <w:t xml:space="preserve">Excludes provisions merely stating that any member of a universal organization (e.g. </w:t>
      </w:r>
      <w:r>
        <w:t>UN, FAO, ICJ, IAEA, UNESCO) or P</w:t>
      </w:r>
      <w:r w:rsidRPr="002D6EC3">
        <w:t>arty to a universal treaty (e.g. UN Ch</w:t>
      </w:r>
      <w:r>
        <w:t>arter, ICJ Statute) can become P</w:t>
      </w:r>
      <w:r w:rsidRPr="002D6EC3">
        <w:t>arty to the agreement (see 10.01, 14.07</w:t>
      </w:r>
      <w:r>
        <w:t>, etc.</w:t>
      </w:r>
      <w:r w:rsidRPr="002D6EC3">
        <w:t>).</w:t>
      </w:r>
    </w:p>
    <w:p w14:paraId="03502968" w14:textId="77777777" w:rsidR="00681AF2" w:rsidRPr="002D6EC3" w:rsidRDefault="00681AF2" w:rsidP="00681AF2">
      <w:pPr>
        <w:pStyle w:val="textenorme"/>
        <w:ind w:left="993" w:hanging="426"/>
      </w:pPr>
      <w:r w:rsidRPr="002D6EC3">
        <w:t>Exclude</w:t>
      </w:r>
      <w:r>
        <w:t>s provisions stating that only s</w:t>
      </w:r>
      <w:r w:rsidRPr="002D6EC3">
        <w:t>tates from a particular region</w:t>
      </w:r>
      <w:r>
        <w:t xml:space="preserve"> </w:t>
      </w:r>
      <w:r w:rsidRPr="002D6EC3">
        <w:t>/</w:t>
      </w:r>
      <w:r>
        <w:t xml:space="preserve"> </w:t>
      </w:r>
      <w:r w:rsidRPr="002D6EC3">
        <w:t>grouping</w:t>
      </w:r>
      <w:r>
        <w:t xml:space="preserve"> </w:t>
      </w:r>
      <w:r w:rsidRPr="002D6EC3">
        <w:t>/</w:t>
      </w:r>
      <w:r>
        <w:t xml:space="preserve"> </w:t>
      </w:r>
      <w:r w:rsidRPr="002D6EC3">
        <w:t>organization can become parties to this agreement, if it does not in</w:t>
      </w:r>
      <w:r>
        <w:t>volve being P</w:t>
      </w:r>
      <w:r w:rsidRPr="002D6EC3">
        <w:t xml:space="preserve">arty to some specific </w:t>
      </w:r>
      <w:r w:rsidRPr="00681AF2">
        <w:t>other agreement</w:t>
      </w:r>
      <w:r w:rsidRPr="002D6EC3">
        <w:t xml:space="preserve"> (see 10.01, 14.07).</w:t>
      </w:r>
    </w:p>
    <w:p w14:paraId="35511AC7" w14:textId="77777777" w:rsidR="00681AF2" w:rsidRPr="002D6EC3" w:rsidRDefault="00681AF2" w:rsidP="00681AF2">
      <w:pPr>
        <w:pStyle w:val="textenorme"/>
        <w:ind w:left="993" w:hanging="426"/>
      </w:pPr>
      <w:r w:rsidRPr="002D6EC3">
        <w:t>Excludes provisions creating exceptions from restrictive membership rules (e.g. ‘states that are not parties to agreement X can also become parties if Y’).</w:t>
      </w:r>
    </w:p>
    <w:p w14:paraId="037D0D48" w14:textId="77777777" w:rsidR="00681AF2" w:rsidRPr="002D6EC3" w:rsidRDefault="00681AF2" w:rsidP="00681AF2">
      <w:pPr>
        <w:pStyle w:val="textenorme"/>
        <w:ind w:left="993" w:hanging="426"/>
      </w:pPr>
      <w:r w:rsidRPr="002D6EC3">
        <w:t>To be distinguished from obligation</w:t>
      </w:r>
      <w:r>
        <w:t xml:space="preserve"> </w:t>
      </w:r>
      <w:r w:rsidRPr="002D6EC3">
        <w:t>/</w:t>
      </w:r>
      <w:r>
        <w:t xml:space="preserve"> </w:t>
      </w:r>
      <w:r w:rsidRPr="002D6EC3">
        <w:t>commitment to negotiate other</w:t>
      </w:r>
      <w:r>
        <w:t xml:space="preserve"> </w:t>
      </w:r>
      <w:r w:rsidRPr="002D6EC3">
        <w:t>/</w:t>
      </w:r>
      <w:r>
        <w:t xml:space="preserve"> </w:t>
      </w:r>
      <w:r w:rsidRPr="002D6EC3">
        <w:t>future agreements (see 9.11).</w:t>
      </w:r>
    </w:p>
    <w:p w14:paraId="6F73241F" w14:textId="77777777" w:rsidR="00681AF2" w:rsidRPr="002D6EC3" w:rsidRDefault="00681AF2" w:rsidP="00681AF2">
      <w:pPr>
        <w:rPr>
          <w:lang w:val="en-CA"/>
        </w:rPr>
      </w:pPr>
    </w:p>
    <w:p w14:paraId="2F3DB678" w14:textId="77777777" w:rsidR="00681AF2" w:rsidRPr="002D6EC3" w:rsidRDefault="00681AF2" w:rsidP="00681AF2">
      <w:pPr>
        <w:pStyle w:val="titresoussousnormedites"/>
        <w:ind w:firstLine="567"/>
      </w:pPr>
      <w:bookmarkStart w:id="80" w:name="_Toc484439250"/>
      <w:bookmarkStart w:id="81" w:name="_Toc501098480"/>
      <w:bookmarkStart w:id="82" w:name="_Toc503952526"/>
      <w:r>
        <w:t xml:space="preserve">14.05.01 </w:t>
      </w:r>
      <w:r w:rsidRPr="002D6EC3">
        <w:t>Accession or ratification of health agreements</w:t>
      </w:r>
      <w:bookmarkEnd w:id="80"/>
      <w:bookmarkEnd w:id="81"/>
      <w:bookmarkEnd w:id="82"/>
    </w:p>
    <w:p w14:paraId="6D8DE126" w14:textId="77777777" w:rsidR="00681AF2" w:rsidRPr="002D6EC3" w:rsidRDefault="00681AF2" w:rsidP="00681AF2">
      <w:pPr>
        <w:pStyle w:val="exemplenorme"/>
        <w:ind w:left="851" w:firstLine="142"/>
      </w:pPr>
      <w:r w:rsidRPr="002D6EC3">
        <w:t>[No example]</w:t>
      </w:r>
    </w:p>
    <w:p w14:paraId="081D520E" w14:textId="77777777" w:rsidR="00080F2E" w:rsidRPr="00080F2E" w:rsidRDefault="00080F2E" w:rsidP="0091125C">
      <w:pPr>
        <w:tabs>
          <w:tab w:val="left" w:pos="1560"/>
        </w:tabs>
        <w:ind w:left="1699"/>
        <w:rPr>
          <w:rFonts w:ascii="Palatino Linotype" w:hAnsi="Palatino Linotype"/>
          <w:i/>
          <w:sz w:val="20"/>
          <w:szCs w:val="22"/>
          <w:highlight w:val="white"/>
          <w:lang w:val="en-CA"/>
        </w:rPr>
      </w:pPr>
    </w:p>
    <w:p w14:paraId="38C192E6" w14:textId="78D5F642" w:rsidR="00681AF2" w:rsidRPr="002D6EC3" w:rsidRDefault="00681AF2" w:rsidP="00681AF2">
      <w:pPr>
        <w:pStyle w:val="titresousnormedites"/>
      </w:pPr>
      <w:bookmarkStart w:id="83" w:name="_ornimyfdizqn" w:colFirst="0" w:colLast="0"/>
      <w:bookmarkStart w:id="84" w:name="_Toc484439254"/>
      <w:bookmarkStart w:id="85" w:name="_Toc501098484"/>
      <w:bookmarkStart w:id="86" w:name="_Toc503952527"/>
      <w:bookmarkEnd w:id="83"/>
      <w:r>
        <w:t xml:space="preserve">14.06 </w:t>
      </w:r>
      <w:r w:rsidRPr="002D6EC3">
        <w:t>Depositary and registration</w:t>
      </w:r>
      <w:bookmarkEnd w:id="84"/>
      <w:bookmarkEnd w:id="85"/>
      <w:bookmarkEnd w:id="86"/>
    </w:p>
    <w:p w14:paraId="752D5C71" w14:textId="77777777" w:rsidR="00681AF2" w:rsidRPr="002D6EC3" w:rsidRDefault="00681AF2" w:rsidP="00681AF2">
      <w:pPr>
        <w:pStyle w:val="textenorme"/>
        <w:ind w:left="993" w:hanging="426"/>
      </w:pPr>
      <w:r w:rsidRPr="002D6EC3">
        <w:t>Includes provisions selecting an organization as “depository” for the agreement, or instructing states to send ratifications</w:t>
      </w:r>
      <w:r>
        <w:t xml:space="preserve"> </w:t>
      </w:r>
      <w:r w:rsidRPr="002D6EC3">
        <w:t>/</w:t>
      </w:r>
      <w:r>
        <w:t xml:space="preserve"> </w:t>
      </w:r>
      <w:r w:rsidRPr="002D6EC3">
        <w:t>accessions</w:t>
      </w:r>
      <w:r>
        <w:t xml:space="preserve"> </w:t>
      </w:r>
      <w:r w:rsidRPr="002D6EC3">
        <w:t>/</w:t>
      </w:r>
      <w:r>
        <w:t xml:space="preserve"> </w:t>
      </w:r>
      <w:r w:rsidRPr="002D6EC3">
        <w:t>amendments</w:t>
      </w:r>
      <w:r>
        <w:t xml:space="preserve"> </w:t>
      </w:r>
      <w:r w:rsidRPr="002D6EC3">
        <w:t>/</w:t>
      </w:r>
      <w:r>
        <w:t xml:space="preserve"> </w:t>
      </w:r>
      <w:r w:rsidRPr="002D6EC3">
        <w:t xml:space="preserve">reservations to </w:t>
      </w:r>
      <w:r>
        <w:t xml:space="preserve">the </w:t>
      </w:r>
      <w:r w:rsidRPr="002D6EC3">
        <w:t>said organization.</w:t>
      </w:r>
    </w:p>
    <w:p w14:paraId="6840418D" w14:textId="77777777" w:rsidR="00681AF2" w:rsidRPr="002D6EC3" w:rsidRDefault="00681AF2" w:rsidP="00681AF2">
      <w:pPr>
        <w:pStyle w:val="textenorme"/>
        <w:ind w:left="993" w:hanging="426"/>
      </w:pPr>
      <w:r w:rsidRPr="002D6EC3">
        <w:t>Includes provisions defining the tasks</w:t>
      </w:r>
      <w:r>
        <w:t xml:space="preserve"> </w:t>
      </w:r>
      <w:r w:rsidRPr="002D6EC3">
        <w:t>/</w:t>
      </w:r>
      <w:r>
        <w:t xml:space="preserve"> </w:t>
      </w:r>
      <w:r w:rsidRPr="002D6EC3">
        <w:t>responsibilities of the depository, e.g. sending documents or copies of the agreement to member states and/or other organizations.</w:t>
      </w:r>
    </w:p>
    <w:p w14:paraId="041FAAA6" w14:textId="77777777" w:rsidR="00681AF2" w:rsidRPr="002D6EC3" w:rsidRDefault="00681AF2" w:rsidP="00681AF2">
      <w:pPr>
        <w:pStyle w:val="textenorme"/>
        <w:ind w:left="993" w:hanging="426"/>
      </w:pPr>
      <w:r w:rsidRPr="002D6EC3">
        <w:t>Includes provisions regarding the registration of the agreement with organizations (e.g. regional organizations, FAO, UN).</w:t>
      </w:r>
    </w:p>
    <w:p w14:paraId="4DE24F69" w14:textId="77777777" w:rsidR="00681AF2" w:rsidRPr="002D6EC3" w:rsidRDefault="00681AF2" w:rsidP="00681AF2">
      <w:pPr>
        <w:jc w:val="both"/>
        <w:rPr>
          <w:sz w:val="22"/>
          <w:lang w:val="en-CA"/>
        </w:rPr>
      </w:pPr>
    </w:p>
    <w:p w14:paraId="7E0D5651" w14:textId="77777777" w:rsidR="00681AF2" w:rsidRPr="002D6EC3" w:rsidRDefault="00681AF2" w:rsidP="00681AF2">
      <w:pPr>
        <w:pStyle w:val="titresoussousnormedites"/>
        <w:ind w:firstLine="567"/>
      </w:pPr>
      <w:bookmarkStart w:id="87" w:name="_2ufajeykbs4c" w:colFirst="0" w:colLast="0"/>
      <w:bookmarkStart w:id="88" w:name="_Toc484439255"/>
      <w:bookmarkStart w:id="89" w:name="_Toc501098485"/>
      <w:bookmarkStart w:id="90" w:name="_Toc503952528"/>
      <w:bookmarkEnd w:id="87"/>
      <w:r>
        <w:t xml:space="preserve">14.06.01 </w:t>
      </w:r>
      <w:r w:rsidRPr="002D6EC3">
        <w:t>Health organization depositary &amp; registration</w:t>
      </w:r>
      <w:bookmarkEnd w:id="88"/>
      <w:bookmarkEnd w:id="89"/>
      <w:bookmarkEnd w:id="90"/>
    </w:p>
    <w:p w14:paraId="60B56632" w14:textId="77777777" w:rsidR="00681AF2" w:rsidRPr="002D6EC3" w:rsidRDefault="00681AF2" w:rsidP="00681AF2">
      <w:pPr>
        <w:pStyle w:val="exemplenorme"/>
        <w:ind w:left="851" w:firstLine="142"/>
      </w:pPr>
      <w:r w:rsidRPr="002D6EC3">
        <w:t>[No example]</w:t>
      </w:r>
    </w:p>
    <w:p w14:paraId="3F532584" w14:textId="77777777" w:rsidR="00080F2E" w:rsidRPr="00681AF2" w:rsidRDefault="00080F2E" w:rsidP="0091125C">
      <w:pPr>
        <w:ind w:left="2269"/>
        <w:jc w:val="both"/>
        <w:rPr>
          <w:rFonts w:ascii="Palatino Linotype" w:hAnsi="Palatino Linotype"/>
          <w:i/>
          <w:sz w:val="20"/>
          <w:szCs w:val="22"/>
          <w:highlight w:val="white"/>
          <w:lang w:val="en-US"/>
        </w:rPr>
      </w:pPr>
    </w:p>
    <w:p w14:paraId="21AA09EF" w14:textId="43A88CAC" w:rsidR="00681AF2" w:rsidRPr="002D6EC3" w:rsidRDefault="00681AF2" w:rsidP="00681AF2">
      <w:pPr>
        <w:pStyle w:val="titresousnormedites"/>
      </w:pPr>
      <w:bookmarkStart w:id="91" w:name="_7bx0xvqfv3u2" w:colFirst="0" w:colLast="0"/>
      <w:bookmarkStart w:id="92" w:name="_rlf9jyj3vhdx" w:colFirst="0" w:colLast="0"/>
      <w:bookmarkStart w:id="93" w:name="_4dnxb7nqk7lv" w:colFirst="0" w:colLast="0"/>
      <w:bookmarkStart w:id="94" w:name="_33zd5kd" w:colFirst="0" w:colLast="0"/>
      <w:bookmarkStart w:id="95" w:name="_3hej1je" w:colFirst="0" w:colLast="0"/>
      <w:bookmarkStart w:id="96" w:name="_Toc484439260"/>
      <w:bookmarkStart w:id="97" w:name="_Toc501098490"/>
      <w:bookmarkStart w:id="98" w:name="_Toc503952529"/>
      <w:bookmarkEnd w:id="91"/>
      <w:bookmarkEnd w:id="92"/>
      <w:bookmarkEnd w:id="93"/>
      <w:bookmarkEnd w:id="94"/>
      <w:bookmarkEnd w:id="95"/>
      <w:r>
        <w:t xml:space="preserve">14.07 </w:t>
      </w:r>
      <w:r w:rsidRPr="002D6EC3">
        <w:t>Other references to other international institutions</w:t>
      </w:r>
      <w:bookmarkEnd w:id="96"/>
      <w:bookmarkEnd w:id="97"/>
      <w:bookmarkEnd w:id="98"/>
    </w:p>
    <w:p w14:paraId="134BDC09" w14:textId="77777777" w:rsidR="00681AF2" w:rsidRPr="002D6EC3" w:rsidRDefault="00681AF2" w:rsidP="00681AF2">
      <w:pPr>
        <w:pStyle w:val="textenorme"/>
        <w:ind w:left="993" w:hanging="426"/>
      </w:pPr>
      <w:bookmarkStart w:id="99" w:name="_24ufcor" w:colFirst="0" w:colLast="0"/>
      <w:bookmarkEnd w:id="99"/>
      <w:r w:rsidRPr="002D6EC3">
        <w:t>Includes references to international organizations or agreements.</w:t>
      </w:r>
    </w:p>
    <w:p w14:paraId="60450050" w14:textId="77777777" w:rsidR="00681AF2" w:rsidRPr="002D6EC3" w:rsidRDefault="00681AF2" w:rsidP="00681AF2">
      <w:pPr>
        <w:pStyle w:val="textenorme"/>
        <w:ind w:left="993" w:hanging="426"/>
      </w:pPr>
      <w:r w:rsidRPr="002D6EC3">
        <w:t xml:space="preserve">Excludes calls for cooperation, ratification, implementation and prevalence (see 14.01, 14.02, 14.03, 14.04, 14.05). </w:t>
      </w:r>
    </w:p>
    <w:p w14:paraId="5229DBFF" w14:textId="77777777" w:rsidR="00681AF2" w:rsidRPr="002D6EC3" w:rsidRDefault="00681AF2" w:rsidP="00681AF2">
      <w:pPr>
        <w:pStyle w:val="textenorme"/>
        <w:ind w:left="993" w:hanging="426"/>
      </w:pPr>
      <w:r w:rsidRPr="002D6EC3">
        <w:t>Excludes if commitment to negotiate an agreement or cooperate through an organization (9.11).</w:t>
      </w:r>
    </w:p>
    <w:p w14:paraId="2AE9A4CC" w14:textId="77777777" w:rsidR="00681AF2" w:rsidRPr="002D6EC3" w:rsidRDefault="00681AF2" w:rsidP="00681AF2">
      <w:pPr>
        <w:pStyle w:val="textenorme"/>
        <w:ind w:left="993" w:hanging="426"/>
      </w:pPr>
      <w:r w:rsidRPr="002D6EC3">
        <w:t xml:space="preserve">A simple reference is the minimal requirement, including “Recalling X” in a protocol. </w:t>
      </w:r>
    </w:p>
    <w:p w14:paraId="6063F3CF" w14:textId="77777777" w:rsidR="00681AF2" w:rsidRPr="002D6EC3" w:rsidRDefault="00681AF2" w:rsidP="00681AF2">
      <w:pPr>
        <w:pStyle w:val="textenorme"/>
        <w:ind w:left="993" w:hanging="426"/>
      </w:pPr>
      <w:r w:rsidRPr="002D6EC3">
        <w:t>Includes references to main agreement in an amendment, protocol or separate annex (code here and not in 14.02 except if explicitly said that the goal of the protocol is the implementation of the agreement, then code 14.07 and 14.02).</w:t>
      </w:r>
    </w:p>
    <w:p w14:paraId="758D33E6" w14:textId="77777777" w:rsidR="00681AF2" w:rsidRPr="002D6EC3" w:rsidRDefault="00681AF2" w:rsidP="00681AF2">
      <w:pPr>
        <w:pStyle w:val="textenorme"/>
        <w:ind w:left="993" w:hanging="426"/>
      </w:pPr>
      <w:r w:rsidRPr="002D6EC3">
        <w:t>Excludes reference</w:t>
      </w:r>
      <w:r>
        <w:t>s</w:t>
      </w:r>
      <w:r w:rsidRPr="002D6EC3">
        <w:t xml:space="preserve"> to the same agreement, e.g. in annexes, protocols or letters included within the text of the agreement and signed simultaneously. </w:t>
      </w:r>
    </w:p>
    <w:p w14:paraId="450CE761" w14:textId="77777777" w:rsidR="00681AF2" w:rsidRPr="002D6EC3" w:rsidRDefault="00681AF2" w:rsidP="00681AF2">
      <w:pPr>
        <w:rPr>
          <w:lang w:val="en-CA"/>
        </w:rPr>
      </w:pPr>
    </w:p>
    <w:p w14:paraId="1B155293" w14:textId="77777777" w:rsidR="00681AF2" w:rsidRPr="002D6EC3" w:rsidRDefault="00681AF2" w:rsidP="00681AF2">
      <w:pPr>
        <w:pStyle w:val="titresoussousnormedites"/>
        <w:ind w:firstLine="567"/>
      </w:pPr>
      <w:bookmarkStart w:id="100" w:name="_Toc484439261"/>
      <w:bookmarkStart w:id="101" w:name="_Toc501098491"/>
      <w:bookmarkStart w:id="102" w:name="_Toc503952530"/>
      <w:r>
        <w:t xml:space="preserve">14.07.01 </w:t>
      </w:r>
      <w:proofErr w:type="gramStart"/>
      <w:r w:rsidRPr="002D6EC3">
        <w:t>Other</w:t>
      </w:r>
      <w:proofErr w:type="gramEnd"/>
      <w:r w:rsidRPr="002D6EC3">
        <w:t xml:space="preserve"> references to a health institution</w:t>
      </w:r>
      <w:bookmarkEnd w:id="100"/>
      <w:bookmarkEnd w:id="101"/>
      <w:bookmarkEnd w:id="102"/>
    </w:p>
    <w:p w14:paraId="1C0D9F2E" w14:textId="77777777" w:rsidR="00681AF2" w:rsidRPr="002D6EC3" w:rsidRDefault="00681AF2" w:rsidP="00681AF2">
      <w:pPr>
        <w:rPr>
          <w:lang w:val="en-CA"/>
        </w:rPr>
      </w:pPr>
    </w:p>
    <w:p w14:paraId="51A07004" w14:textId="77777777" w:rsidR="00681AF2" w:rsidRPr="002D6EC3" w:rsidRDefault="00681AF2" w:rsidP="00681AF2">
      <w:pPr>
        <w:pStyle w:val="minimormedites"/>
        <w:tabs>
          <w:tab w:val="clear" w:pos="559"/>
          <w:tab w:val="left" w:pos="1418"/>
        </w:tabs>
        <w:ind w:left="1276"/>
      </w:pPr>
      <w:r>
        <w:t xml:space="preserve">14.07.01.01 </w:t>
      </w:r>
      <w:r w:rsidRPr="002D6EC3">
        <w:t>Reference to WHO</w:t>
      </w:r>
    </w:p>
    <w:p w14:paraId="12F62E29" w14:textId="68FDCACA" w:rsidR="00681AF2" w:rsidRPr="0035074D" w:rsidRDefault="00681AF2" w:rsidP="00681AF2">
      <w:pPr>
        <w:pStyle w:val="textemininorme"/>
        <w:ind w:left="1701" w:hanging="425"/>
        <w:rPr>
          <w:sz w:val="22"/>
        </w:rPr>
      </w:pPr>
      <w:r w:rsidRPr="0035074D">
        <w:t>Includes WHO-related institutions (e</w:t>
      </w:r>
      <w:r w:rsidR="00D07799">
        <w:t>.</w:t>
      </w:r>
      <w:r w:rsidRPr="0035074D">
        <w:t>g. Pan American Health Organization (PAHO)</w:t>
      </w:r>
      <w:r>
        <w:t>).</w:t>
      </w:r>
    </w:p>
    <w:p w14:paraId="0955932B" w14:textId="77777777" w:rsidR="00681AF2" w:rsidRPr="00D05E3C" w:rsidRDefault="00681AF2" w:rsidP="00681AF2">
      <w:pPr>
        <w:pStyle w:val="Sansinterligne"/>
        <w:ind w:left="1701"/>
        <w:rPr>
          <w:lang w:val="en-CA"/>
        </w:rPr>
      </w:pPr>
      <w:bookmarkStart w:id="103" w:name="_of3fjfpb1gu6" w:colFirst="0" w:colLast="0"/>
      <w:bookmarkEnd w:id="103"/>
      <w:proofErr w:type="gramStart"/>
      <w:r w:rsidRPr="00D05E3C">
        <w:rPr>
          <w:lang w:val="en-CA"/>
        </w:rPr>
        <w:t>1999</w:t>
      </w:r>
      <w:proofErr w:type="gramEnd"/>
      <w:r w:rsidRPr="00D05E3C">
        <w:rPr>
          <w:lang w:val="en-CA"/>
        </w:rPr>
        <w:t xml:space="preserve"> Protocol on water and health, to the Convention on protection of transboundary watercourses, art. 6(2)(a): “(a) The quality of the drinking water supplied, taking into account the Guidelines for drinking-water quality of the World Health Organization”</w:t>
      </w:r>
    </w:p>
    <w:p w14:paraId="32FB9BE8" w14:textId="77777777" w:rsidR="00681AF2" w:rsidRPr="002D6EC3" w:rsidRDefault="00681AF2" w:rsidP="00681AF2">
      <w:pPr>
        <w:jc w:val="both"/>
        <w:rPr>
          <w:lang w:val="en-CA"/>
        </w:rPr>
      </w:pPr>
    </w:p>
    <w:p w14:paraId="7998F177" w14:textId="77777777" w:rsidR="00681AF2" w:rsidRPr="002D6EC3" w:rsidRDefault="00681AF2" w:rsidP="00681AF2">
      <w:pPr>
        <w:pStyle w:val="minimormedites"/>
        <w:tabs>
          <w:tab w:val="clear" w:pos="559"/>
          <w:tab w:val="left" w:pos="1418"/>
        </w:tabs>
        <w:ind w:left="1276"/>
      </w:pPr>
      <w:r>
        <w:lastRenderedPageBreak/>
        <w:t xml:space="preserve">14.07.01.02 </w:t>
      </w:r>
      <w:r w:rsidRPr="002D6EC3">
        <w:t>Reference to other health institutions</w:t>
      </w:r>
    </w:p>
    <w:p w14:paraId="7B74486E" w14:textId="77777777" w:rsidR="00681AF2" w:rsidRPr="00D05E3C" w:rsidRDefault="00681AF2" w:rsidP="00681AF2">
      <w:pPr>
        <w:pStyle w:val="Sansinterligne"/>
        <w:ind w:left="1701"/>
        <w:rPr>
          <w:lang w:val="en-CA"/>
        </w:rPr>
      </w:pPr>
      <w:bookmarkStart w:id="104" w:name="_n6i3c0uw0l38" w:colFirst="0" w:colLast="0"/>
      <w:bookmarkEnd w:id="104"/>
      <w:r w:rsidRPr="00D05E3C">
        <w:rPr>
          <w:lang w:val="en-CA"/>
        </w:rPr>
        <w:t>1977 Convention Concerning The Protection Of Workers Against Occupational Hazards In The Working Environment Due To Air Pollution, Noise And Vibration, preamble: “Noting the terms of existing international labour Conventions and Recommendations which are relevant and, in particular, the Protection of Workers' Health Recommendation, 1953”.</w:t>
      </w:r>
    </w:p>
    <w:p w14:paraId="15886924" w14:textId="7975D90A" w:rsidR="00FA7323" w:rsidRPr="00E621A1" w:rsidRDefault="00FA7323" w:rsidP="0091125C">
      <w:pPr>
        <w:tabs>
          <w:tab w:val="left" w:pos="2839"/>
        </w:tabs>
        <w:jc w:val="both"/>
        <w:rPr>
          <w:rFonts w:ascii="Palatino Linotype" w:hAnsi="Palatino Linotype"/>
          <w:i/>
          <w:sz w:val="20"/>
          <w:szCs w:val="22"/>
          <w:highlight w:val="white"/>
          <w:lang w:val="en-CA"/>
        </w:rPr>
      </w:pPr>
    </w:p>
    <w:sectPr w:rsidR="00FA7323" w:rsidRPr="00E621A1" w:rsidSect="006A0025">
      <w:pgSz w:w="12240" w:h="15840"/>
      <w:pgMar w:top="1440" w:right="1800" w:bottom="1440" w:left="180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89F6" w14:textId="77777777" w:rsidR="00081DD1" w:rsidRDefault="00081DD1">
      <w:r>
        <w:separator/>
      </w:r>
    </w:p>
  </w:endnote>
  <w:endnote w:type="continuationSeparator" w:id="0">
    <w:p w14:paraId="1E4257E4" w14:textId="77777777" w:rsidR="00081DD1" w:rsidRDefault="0008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0"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4431636"/>
      <w:docPartObj>
        <w:docPartGallery w:val="Page Numbers (Bottom of Page)"/>
        <w:docPartUnique/>
      </w:docPartObj>
    </w:sdtPr>
    <w:sdtEndPr/>
    <w:sdtContent>
      <w:p w14:paraId="6928E940" w14:textId="18A04F67" w:rsidR="00502C5B" w:rsidRPr="00224E64" w:rsidRDefault="00502C5B" w:rsidP="00E628E9">
        <w:pPr>
          <w:pStyle w:val="Pieddepage"/>
          <w:jc w:val="right"/>
          <w:rPr>
            <w:sz w:val="22"/>
          </w:rPr>
        </w:pPr>
        <w:r w:rsidRPr="00224E64">
          <w:rPr>
            <w:sz w:val="22"/>
          </w:rPr>
          <w:fldChar w:fldCharType="begin"/>
        </w:r>
        <w:r w:rsidRPr="00224E64">
          <w:rPr>
            <w:sz w:val="22"/>
          </w:rPr>
          <w:instrText>PAGE   \* MERGEFORMAT</w:instrText>
        </w:r>
        <w:r w:rsidRPr="00224E64">
          <w:rPr>
            <w:sz w:val="22"/>
          </w:rPr>
          <w:fldChar w:fldCharType="separate"/>
        </w:r>
        <w:r w:rsidR="00F7115A" w:rsidRPr="00F7115A">
          <w:rPr>
            <w:noProof/>
            <w:sz w:val="22"/>
            <w:lang w:val="fr-FR"/>
          </w:rPr>
          <w:t>12</w:t>
        </w:r>
        <w:r w:rsidRPr="00224E64">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E9F9" w14:textId="77777777" w:rsidR="00502C5B" w:rsidRDefault="00502C5B">
    <w:pPr>
      <w:tabs>
        <w:tab w:val="center" w:pos="4536"/>
        <w:tab w:val="right" w:pos="9072"/>
      </w:tabs>
      <w:spacing w:after="720"/>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19E3" w14:textId="77777777" w:rsidR="00081DD1" w:rsidRDefault="00081DD1">
      <w:r>
        <w:separator/>
      </w:r>
    </w:p>
  </w:footnote>
  <w:footnote w:type="continuationSeparator" w:id="0">
    <w:p w14:paraId="161971D2" w14:textId="77777777" w:rsidR="00081DD1" w:rsidRDefault="00081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97"/>
    <w:multiLevelType w:val="multilevel"/>
    <w:tmpl w:val="8036318C"/>
    <w:lvl w:ilvl="0">
      <w:start w:val="1"/>
      <w:numFmt w:val="bullet"/>
      <w:lvlText w:val=""/>
      <w:lvlJc w:val="left"/>
      <w:pPr>
        <w:ind w:left="1440" w:firstLine="1080"/>
      </w:pPr>
      <w:rPr>
        <w:rFonts w:ascii="Wingdings" w:hAnsi="Wingdings"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3806D72"/>
    <w:multiLevelType w:val="multilevel"/>
    <w:tmpl w:val="0B2024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5AE0CC4"/>
    <w:multiLevelType w:val="multilevel"/>
    <w:tmpl w:val="00E22378"/>
    <w:lvl w:ilvl="0">
      <w:start w:val="1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06E11D99"/>
    <w:multiLevelType w:val="multilevel"/>
    <w:tmpl w:val="EEC47A08"/>
    <w:lvl w:ilvl="0">
      <w:start w:val="1"/>
      <w:numFmt w:val="bullet"/>
      <w:lvlText w:val=""/>
      <w:lvlJc w:val="left"/>
      <w:pPr>
        <w:ind w:left="1440" w:firstLine="1080"/>
      </w:pPr>
      <w:rPr>
        <w:rFonts w:ascii="Wingdings" w:hAnsi="Wingdings"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072A11E9"/>
    <w:multiLevelType w:val="multilevel"/>
    <w:tmpl w:val="2BB4F972"/>
    <w:lvl w:ilvl="0">
      <w:start w:val="1"/>
      <w:numFmt w:val="bullet"/>
      <w:lvlText w:val=""/>
      <w:lvlJc w:val="left"/>
      <w:pPr>
        <w:ind w:left="1440" w:firstLine="1080"/>
      </w:pPr>
      <w:rPr>
        <w:rFonts w:ascii="Wingdings" w:hAnsi="Wingdings"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08F975BB"/>
    <w:multiLevelType w:val="multilevel"/>
    <w:tmpl w:val="69205D4E"/>
    <w:lvl w:ilvl="0">
      <w:start w:val="1"/>
      <w:numFmt w:val="decimal"/>
      <w:pStyle w:val="titrenorme"/>
      <w:lvlText w:val="%1."/>
      <w:lvlJc w:val="left"/>
      <w:pPr>
        <w:ind w:left="720" w:hanging="360"/>
      </w:pPr>
      <w:rPr>
        <w:rFonts w:hint="default"/>
      </w:rPr>
    </w:lvl>
    <w:lvl w:ilvl="1">
      <w:start w:val="7"/>
      <w:numFmt w:val="decimalZero"/>
      <w:isLgl/>
      <w:lvlText w:val="%1.%2"/>
      <w:lvlJc w:val="left"/>
      <w:pPr>
        <w:ind w:left="960" w:hanging="600"/>
      </w:pPr>
      <w:rPr>
        <w:rFonts w:hint="default"/>
      </w:rPr>
    </w:lvl>
    <w:lvl w:ilvl="2">
      <w:start w:val="3"/>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22434A"/>
    <w:multiLevelType w:val="multilevel"/>
    <w:tmpl w:val="E592B54C"/>
    <w:lvl w:ilvl="0">
      <w:start w:val="1"/>
      <w:numFmt w:val="bullet"/>
      <w:lvlText w:val=""/>
      <w:lvlJc w:val="left"/>
      <w:pPr>
        <w:ind w:left="2160" w:firstLine="1800"/>
      </w:pPr>
      <w:rPr>
        <w:rFonts w:ascii="Wingdings" w:hAnsi="Wingdings" w:hint="default"/>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15:restartNumberingAfterBreak="0">
    <w:nsid w:val="12D657CF"/>
    <w:multiLevelType w:val="multilevel"/>
    <w:tmpl w:val="B73A9F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6FB44C7"/>
    <w:multiLevelType w:val="multilevel"/>
    <w:tmpl w:val="729E8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8BA58F4"/>
    <w:multiLevelType w:val="multilevel"/>
    <w:tmpl w:val="BF6AEC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9632995"/>
    <w:multiLevelType w:val="multilevel"/>
    <w:tmpl w:val="922664D8"/>
    <w:lvl w:ilvl="0">
      <w:start w:val="1"/>
      <w:numFmt w:val="bullet"/>
      <w:lvlText w:val=""/>
      <w:lvlJc w:val="left"/>
      <w:pPr>
        <w:ind w:left="2160" w:firstLine="1800"/>
      </w:pPr>
      <w:rPr>
        <w:rFonts w:ascii="Wingdings" w:hAnsi="Wingdings" w:hint="default"/>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22665E7C"/>
    <w:multiLevelType w:val="multilevel"/>
    <w:tmpl w:val="C7CEC430"/>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464559D"/>
    <w:multiLevelType w:val="multilevel"/>
    <w:tmpl w:val="39561D4C"/>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247C5AD4"/>
    <w:multiLevelType w:val="multilevel"/>
    <w:tmpl w:val="A8D20962"/>
    <w:lvl w:ilvl="0">
      <w:start w:val="1"/>
      <w:numFmt w:val="bullet"/>
      <w:lvlText w:val=""/>
      <w:lvlJc w:val="left"/>
      <w:pPr>
        <w:ind w:left="2160" w:firstLine="1800"/>
      </w:pPr>
      <w:rPr>
        <w:rFonts w:ascii="Wingdings" w:hAnsi="Wingdings" w:hint="default"/>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4" w15:restartNumberingAfterBreak="0">
    <w:nsid w:val="26A36866"/>
    <w:multiLevelType w:val="multilevel"/>
    <w:tmpl w:val="AE40489A"/>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6B8248C"/>
    <w:multiLevelType w:val="multilevel"/>
    <w:tmpl w:val="77CEB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A814CA3"/>
    <w:multiLevelType w:val="multilevel"/>
    <w:tmpl w:val="7F682BFE"/>
    <w:lvl w:ilvl="0">
      <w:start w:val="1"/>
      <w:numFmt w:val="bullet"/>
      <w:lvlText w:val=""/>
      <w:lvlJc w:val="left"/>
      <w:pPr>
        <w:ind w:left="1440" w:firstLine="1080"/>
      </w:pPr>
      <w:rPr>
        <w:rFonts w:ascii="Wingdings" w:hAnsi="Wingdings"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2B9D59EC"/>
    <w:multiLevelType w:val="multilevel"/>
    <w:tmpl w:val="6D0C031A"/>
    <w:lvl w:ilvl="0">
      <w:start w:val="1"/>
      <w:numFmt w:val="bullet"/>
      <w:lvlText w:val=""/>
      <w:lvlJc w:val="left"/>
      <w:pPr>
        <w:ind w:left="1440" w:firstLine="1080"/>
      </w:pPr>
      <w:rPr>
        <w:rFonts w:ascii="Wingdings" w:hAnsi="Wingdings"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2E077E0E"/>
    <w:multiLevelType w:val="multilevel"/>
    <w:tmpl w:val="6C8A7768"/>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9" w15:restartNumberingAfterBreak="0">
    <w:nsid w:val="323E3853"/>
    <w:multiLevelType w:val="multilevel"/>
    <w:tmpl w:val="C19E6EF2"/>
    <w:lvl w:ilvl="0">
      <w:start w:val="1"/>
      <w:numFmt w:val="bullet"/>
      <w:lvlText w:val=""/>
      <w:lvlJc w:val="left"/>
      <w:pPr>
        <w:ind w:left="2160" w:firstLine="1800"/>
      </w:pPr>
      <w:rPr>
        <w:rFonts w:ascii="Wingdings" w:hAnsi="Wingdings" w:hint="default"/>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0" w15:restartNumberingAfterBreak="0">
    <w:nsid w:val="340C6F8D"/>
    <w:multiLevelType w:val="multilevel"/>
    <w:tmpl w:val="CE9CC216"/>
    <w:lvl w:ilvl="0">
      <w:start w:val="1"/>
      <w:numFmt w:val="bullet"/>
      <w:lvlText w:val=""/>
      <w:lvlJc w:val="left"/>
      <w:pPr>
        <w:ind w:left="1068" w:firstLine="1776"/>
      </w:pPr>
      <w:rPr>
        <w:rFonts w:ascii="Wingdings" w:hAnsi="Wingdings" w:hint="default"/>
        <w:sz w:val="22"/>
        <w:szCs w:val="22"/>
      </w:rPr>
    </w:lvl>
    <w:lvl w:ilvl="1">
      <w:start w:val="1"/>
      <w:numFmt w:val="bullet"/>
      <w:lvlText w:val="○"/>
      <w:lvlJc w:val="left"/>
      <w:pPr>
        <w:ind w:left="1788" w:firstLine="3216"/>
      </w:pPr>
      <w:rPr>
        <w:rFonts w:ascii="Arial" w:eastAsia="Arial" w:hAnsi="Arial" w:cs="Arial"/>
      </w:rPr>
    </w:lvl>
    <w:lvl w:ilvl="2">
      <w:start w:val="1"/>
      <w:numFmt w:val="bullet"/>
      <w:lvlText w:val="■"/>
      <w:lvlJc w:val="left"/>
      <w:pPr>
        <w:ind w:left="2508" w:firstLine="4656"/>
      </w:pPr>
      <w:rPr>
        <w:rFonts w:ascii="Arial" w:eastAsia="Arial" w:hAnsi="Arial" w:cs="Arial"/>
      </w:rPr>
    </w:lvl>
    <w:lvl w:ilvl="3">
      <w:start w:val="1"/>
      <w:numFmt w:val="bullet"/>
      <w:lvlText w:val="●"/>
      <w:lvlJc w:val="left"/>
      <w:pPr>
        <w:ind w:left="3228" w:firstLine="6096"/>
      </w:pPr>
      <w:rPr>
        <w:rFonts w:ascii="Arial" w:eastAsia="Arial" w:hAnsi="Arial" w:cs="Arial"/>
      </w:rPr>
    </w:lvl>
    <w:lvl w:ilvl="4">
      <w:start w:val="1"/>
      <w:numFmt w:val="bullet"/>
      <w:lvlText w:val="○"/>
      <w:lvlJc w:val="left"/>
      <w:pPr>
        <w:ind w:left="3948" w:firstLine="7536"/>
      </w:pPr>
      <w:rPr>
        <w:rFonts w:ascii="Arial" w:eastAsia="Arial" w:hAnsi="Arial" w:cs="Arial"/>
      </w:rPr>
    </w:lvl>
    <w:lvl w:ilvl="5">
      <w:start w:val="1"/>
      <w:numFmt w:val="bullet"/>
      <w:lvlText w:val="■"/>
      <w:lvlJc w:val="left"/>
      <w:pPr>
        <w:ind w:left="4668" w:firstLine="8976"/>
      </w:pPr>
      <w:rPr>
        <w:rFonts w:ascii="Arial" w:eastAsia="Arial" w:hAnsi="Arial" w:cs="Arial"/>
      </w:rPr>
    </w:lvl>
    <w:lvl w:ilvl="6">
      <w:start w:val="1"/>
      <w:numFmt w:val="bullet"/>
      <w:lvlText w:val="●"/>
      <w:lvlJc w:val="left"/>
      <w:pPr>
        <w:ind w:left="5388" w:firstLine="10416"/>
      </w:pPr>
      <w:rPr>
        <w:rFonts w:ascii="Arial" w:eastAsia="Arial" w:hAnsi="Arial" w:cs="Arial"/>
      </w:rPr>
    </w:lvl>
    <w:lvl w:ilvl="7">
      <w:start w:val="1"/>
      <w:numFmt w:val="bullet"/>
      <w:lvlText w:val="○"/>
      <w:lvlJc w:val="left"/>
      <w:pPr>
        <w:ind w:left="6108" w:firstLine="11856"/>
      </w:pPr>
      <w:rPr>
        <w:rFonts w:ascii="Arial" w:eastAsia="Arial" w:hAnsi="Arial" w:cs="Arial"/>
      </w:rPr>
    </w:lvl>
    <w:lvl w:ilvl="8">
      <w:start w:val="1"/>
      <w:numFmt w:val="bullet"/>
      <w:lvlText w:val="■"/>
      <w:lvlJc w:val="left"/>
      <w:pPr>
        <w:ind w:left="6828" w:firstLine="13296"/>
      </w:pPr>
      <w:rPr>
        <w:rFonts w:ascii="Arial" w:eastAsia="Arial" w:hAnsi="Arial" w:cs="Arial"/>
      </w:rPr>
    </w:lvl>
  </w:abstractNum>
  <w:abstractNum w:abstractNumId="21" w15:restartNumberingAfterBreak="0">
    <w:nsid w:val="356D4A20"/>
    <w:multiLevelType w:val="multilevel"/>
    <w:tmpl w:val="0CDEF5B2"/>
    <w:lvl w:ilvl="0">
      <w:start w:val="1"/>
      <w:numFmt w:val="bullet"/>
      <w:lvlText w:val=""/>
      <w:lvlJc w:val="left"/>
      <w:pPr>
        <w:ind w:left="1276" w:firstLine="2192"/>
      </w:pPr>
      <w:rPr>
        <w:rFonts w:ascii="Wingdings" w:hAnsi="Wingdings" w:hint="default"/>
      </w:rPr>
    </w:lvl>
    <w:lvl w:ilvl="1">
      <w:start w:val="1"/>
      <w:numFmt w:val="bullet"/>
      <w:lvlText w:val="○"/>
      <w:lvlJc w:val="left"/>
      <w:pPr>
        <w:ind w:left="1996" w:firstLine="3632"/>
      </w:pPr>
      <w:rPr>
        <w:rFonts w:ascii="Arial" w:eastAsia="Arial" w:hAnsi="Arial" w:cs="Arial"/>
      </w:rPr>
    </w:lvl>
    <w:lvl w:ilvl="2">
      <w:start w:val="1"/>
      <w:numFmt w:val="bullet"/>
      <w:lvlText w:val="■"/>
      <w:lvlJc w:val="left"/>
      <w:pPr>
        <w:ind w:left="2716" w:firstLine="5072"/>
      </w:pPr>
      <w:rPr>
        <w:rFonts w:ascii="Arial" w:eastAsia="Arial" w:hAnsi="Arial" w:cs="Arial"/>
      </w:rPr>
    </w:lvl>
    <w:lvl w:ilvl="3">
      <w:start w:val="1"/>
      <w:numFmt w:val="bullet"/>
      <w:lvlText w:val="●"/>
      <w:lvlJc w:val="left"/>
      <w:pPr>
        <w:ind w:left="3436" w:firstLine="6512"/>
      </w:pPr>
      <w:rPr>
        <w:rFonts w:ascii="Arial" w:eastAsia="Arial" w:hAnsi="Arial" w:cs="Arial"/>
      </w:rPr>
    </w:lvl>
    <w:lvl w:ilvl="4">
      <w:start w:val="1"/>
      <w:numFmt w:val="bullet"/>
      <w:lvlText w:val="○"/>
      <w:lvlJc w:val="left"/>
      <w:pPr>
        <w:ind w:left="4156" w:firstLine="7952"/>
      </w:pPr>
      <w:rPr>
        <w:rFonts w:ascii="Arial" w:eastAsia="Arial" w:hAnsi="Arial" w:cs="Arial"/>
      </w:rPr>
    </w:lvl>
    <w:lvl w:ilvl="5">
      <w:start w:val="1"/>
      <w:numFmt w:val="bullet"/>
      <w:lvlText w:val="■"/>
      <w:lvlJc w:val="left"/>
      <w:pPr>
        <w:ind w:left="4876" w:firstLine="9392"/>
      </w:pPr>
      <w:rPr>
        <w:rFonts w:ascii="Arial" w:eastAsia="Arial" w:hAnsi="Arial" w:cs="Arial"/>
      </w:rPr>
    </w:lvl>
    <w:lvl w:ilvl="6">
      <w:start w:val="1"/>
      <w:numFmt w:val="bullet"/>
      <w:lvlText w:val="●"/>
      <w:lvlJc w:val="left"/>
      <w:pPr>
        <w:ind w:left="5596" w:firstLine="10832"/>
      </w:pPr>
      <w:rPr>
        <w:rFonts w:ascii="Arial" w:eastAsia="Arial" w:hAnsi="Arial" w:cs="Arial"/>
      </w:rPr>
    </w:lvl>
    <w:lvl w:ilvl="7">
      <w:start w:val="1"/>
      <w:numFmt w:val="bullet"/>
      <w:lvlText w:val="○"/>
      <w:lvlJc w:val="left"/>
      <w:pPr>
        <w:ind w:left="6316" w:firstLine="12272"/>
      </w:pPr>
      <w:rPr>
        <w:rFonts w:ascii="Arial" w:eastAsia="Arial" w:hAnsi="Arial" w:cs="Arial"/>
      </w:rPr>
    </w:lvl>
    <w:lvl w:ilvl="8">
      <w:start w:val="1"/>
      <w:numFmt w:val="bullet"/>
      <w:lvlText w:val="■"/>
      <w:lvlJc w:val="left"/>
      <w:pPr>
        <w:ind w:left="7036" w:firstLine="13712"/>
      </w:pPr>
      <w:rPr>
        <w:rFonts w:ascii="Arial" w:eastAsia="Arial" w:hAnsi="Arial" w:cs="Arial"/>
      </w:rPr>
    </w:lvl>
  </w:abstractNum>
  <w:abstractNum w:abstractNumId="22" w15:restartNumberingAfterBreak="0">
    <w:nsid w:val="3766088A"/>
    <w:multiLevelType w:val="multilevel"/>
    <w:tmpl w:val="8AE851CC"/>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15:restartNumberingAfterBreak="0">
    <w:nsid w:val="38BA7DF5"/>
    <w:multiLevelType w:val="multilevel"/>
    <w:tmpl w:val="F52E8ED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3A1B62A6"/>
    <w:multiLevelType w:val="multilevel"/>
    <w:tmpl w:val="059EC2F2"/>
    <w:lvl w:ilvl="0">
      <w:start w:val="1"/>
      <w:numFmt w:val="bullet"/>
      <w:lvlText w:val=""/>
      <w:lvlJc w:val="left"/>
      <w:pPr>
        <w:ind w:left="1440" w:firstLine="1080"/>
      </w:pPr>
      <w:rPr>
        <w:rFonts w:ascii="Wingdings" w:hAnsi="Wingdings"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15:restartNumberingAfterBreak="0">
    <w:nsid w:val="3AC43444"/>
    <w:multiLevelType w:val="multilevel"/>
    <w:tmpl w:val="B9E41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0D03DCD"/>
    <w:multiLevelType w:val="multilevel"/>
    <w:tmpl w:val="4C4C7F86"/>
    <w:lvl w:ilvl="0">
      <w:start w:val="1"/>
      <w:numFmt w:val="bullet"/>
      <w:lvlText w:val=""/>
      <w:lvlJc w:val="left"/>
      <w:pPr>
        <w:ind w:left="1440" w:firstLine="1080"/>
      </w:pPr>
      <w:rPr>
        <w:rFonts w:ascii="Wingdings" w:hAnsi="Wingdings"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15:restartNumberingAfterBreak="0">
    <w:nsid w:val="40EC4EA0"/>
    <w:multiLevelType w:val="multilevel"/>
    <w:tmpl w:val="AC78F126"/>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1DD07C8"/>
    <w:multiLevelType w:val="multilevel"/>
    <w:tmpl w:val="8A8EFDF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15:restartNumberingAfterBreak="0">
    <w:nsid w:val="4CD83A41"/>
    <w:multiLevelType w:val="multilevel"/>
    <w:tmpl w:val="EFCE6EB2"/>
    <w:lvl w:ilvl="0">
      <w:start w:val="1"/>
      <w:numFmt w:val="bullet"/>
      <w:lvlText w:val=""/>
      <w:lvlJc w:val="left"/>
      <w:pPr>
        <w:ind w:left="2880" w:firstLine="2520"/>
      </w:pPr>
      <w:rPr>
        <w:rFonts w:ascii="Wingdings" w:hAnsi="Wingdings" w:hint="default"/>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0" w15:restartNumberingAfterBreak="0">
    <w:nsid w:val="4F5C4C6E"/>
    <w:multiLevelType w:val="multilevel"/>
    <w:tmpl w:val="552C0608"/>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8894750"/>
    <w:multiLevelType w:val="multilevel"/>
    <w:tmpl w:val="731C88EA"/>
    <w:lvl w:ilvl="0">
      <w:start w:val="1"/>
      <w:numFmt w:val="bullet"/>
      <w:lvlText w:val=""/>
      <w:lvlJc w:val="left"/>
      <w:pPr>
        <w:ind w:left="2160" w:firstLine="1800"/>
      </w:pPr>
      <w:rPr>
        <w:rFonts w:ascii="Wingdings" w:hAnsi="Wingdings" w:hint="default"/>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2" w15:restartNumberingAfterBreak="0">
    <w:nsid w:val="63EA4E5C"/>
    <w:multiLevelType w:val="hybridMultilevel"/>
    <w:tmpl w:val="701A34F8"/>
    <w:lvl w:ilvl="0" w:tplc="F82C36D2">
      <w:start w:val="2"/>
      <w:numFmt w:val="bullet"/>
      <w:lvlText w:val="-"/>
      <w:lvlJc w:val="left"/>
      <w:pPr>
        <w:ind w:left="720" w:hanging="360"/>
      </w:pPr>
      <w:rPr>
        <w:rFonts w:ascii="Palatino" w:eastAsia="Calibri" w:hAnsi="Palatino"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54F477C"/>
    <w:multiLevelType w:val="multilevel"/>
    <w:tmpl w:val="5EE87E4E"/>
    <w:lvl w:ilvl="0">
      <w:start w:val="1"/>
      <w:numFmt w:val="bullet"/>
      <w:lvlText w:val=""/>
      <w:lvlJc w:val="left"/>
      <w:pPr>
        <w:ind w:left="1440" w:firstLine="1080"/>
      </w:pPr>
      <w:rPr>
        <w:rFonts w:ascii="Wingdings" w:hAnsi="Wingdings"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 w15:restartNumberingAfterBreak="0">
    <w:nsid w:val="69FA5C18"/>
    <w:multiLevelType w:val="hybridMultilevel"/>
    <w:tmpl w:val="9B14EE90"/>
    <w:lvl w:ilvl="0" w:tplc="0C0C0005">
      <w:start w:val="1"/>
      <w:numFmt w:val="bullet"/>
      <w:lvlText w:val=""/>
      <w:lvlJc w:val="left"/>
      <w:pPr>
        <w:ind w:left="3414" w:hanging="360"/>
      </w:pPr>
      <w:rPr>
        <w:rFonts w:ascii="Wingdings" w:hAnsi="Wingdings" w:hint="default"/>
      </w:rPr>
    </w:lvl>
    <w:lvl w:ilvl="1" w:tplc="0C0C0003" w:tentative="1">
      <w:start w:val="1"/>
      <w:numFmt w:val="bullet"/>
      <w:lvlText w:val="o"/>
      <w:lvlJc w:val="left"/>
      <w:pPr>
        <w:ind w:left="4134" w:hanging="360"/>
      </w:pPr>
      <w:rPr>
        <w:rFonts w:ascii="Courier New" w:hAnsi="Courier New" w:cs="Courier New" w:hint="default"/>
      </w:rPr>
    </w:lvl>
    <w:lvl w:ilvl="2" w:tplc="0C0C0005" w:tentative="1">
      <w:start w:val="1"/>
      <w:numFmt w:val="bullet"/>
      <w:lvlText w:val=""/>
      <w:lvlJc w:val="left"/>
      <w:pPr>
        <w:ind w:left="4854" w:hanging="360"/>
      </w:pPr>
      <w:rPr>
        <w:rFonts w:ascii="Wingdings" w:hAnsi="Wingdings" w:hint="default"/>
      </w:rPr>
    </w:lvl>
    <w:lvl w:ilvl="3" w:tplc="0C0C0001" w:tentative="1">
      <w:start w:val="1"/>
      <w:numFmt w:val="bullet"/>
      <w:lvlText w:val=""/>
      <w:lvlJc w:val="left"/>
      <w:pPr>
        <w:ind w:left="5574" w:hanging="360"/>
      </w:pPr>
      <w:rPr>
        <w:rFonts w:ascii="Symbol" w:hAnsi="Symbol" w:hint="default"/>
      </w:rPr>
    </w:lvl>
    <w:lvl w:ilvl="4" w:tplc="0C0C0003" w:tentative="1">
      <w:start w:val="1"/>
      <w:numFmt w:val="bullet"/>
      <w:lvlText w:val="o"/>
      <w:lvlJc w:val="left"/>
      <w:pPr>
        <w:ind w:left="6294" w:hanging="360"/>
      </w:pPr>
      <w:rPr>
        <w:rFonts w:ascii="Courier New" w:hAnsi="Courier New" w:cs="Courier New" w:hint="default"/>
      </w:rPr>
    </w:lvl>
    <w:lvl w:ilvl="5" w:tplc="0C0C0005" w:tentative="1">
      <w:start w:val="1"/>
      <w:numFmt w:val="bullet"/>
      <w:lvlText w:val=""/>
      <w:lvlJc w:val="left"/>
      <w:pPr>
        <w:ind w:left="7014" w:hanging="360"/>
      </w:pPr>
      <w:rPr>
        <w:rFonts w:ascii="Wingdings" w:hAnsi="Wingdings" w:hint="default"/>
      </w:rPr>
    </w:lvl>
    <w:lvl w:ilvl="6" w:tplc="0C0C0001" w:tentative="1">
      <w:start w:val="1"/>
      <w:numFmt w:val="bullet"/>
      <w:lvlText w:val=""/>
      <w:lvlJc w:val="left"/>
      <w:pPr>
        <w:ind w:left="7734" w:hanging="360"/>
      </w:pPr>
      <w:rPr>
        <w:rFonts w:ascii="Symbol" w:hAnsi="Symbol" w:hint="default"/>
      </w:rPr>
    </w:lvl>
    <w:lvl w:ilvl="7" w:tplc="0C0C0003" w:tentative="1">
      <w:start w:val="1"/>
      <w:numFmt w:val="bullet"/>
      <w:lvlText w:val="o"/>
      <w:lvlJc w:val="left"/>
      <w:pPr>
        <w:ind w:left="8454" w:hanging="360"/>
      </w:pPr>
      <w:rPr>
        <w:rFonts w:ascii="Courier New" w:hAnsi="Courier New" w:cs="Courier New" w:hint="default"/>
      </w:rPr>
    </w:lvl>
    <w:lvl w:ilvl="8" w:tplc="0C0C0005" w:tentative="1">
      <w:start w:val="1"/>
      <w:numFmt w:val="bullet"/>
      <w:lvlText w:val=""/>
      <w:lvlJc w:val="left"/>
      <w:pPr>
        <w:ind w:left="9174" w:hanging="360"/>
      </w:pPr>
      <w:rPr>
        <w:rFonts w:ascii="Wingdings" w:hAnsi="Wingdings" w:hint="default"/>
      </w:rPr>
    </w:lvl>
  </w:abstractNum>
  <w:abstractNum w:abstractNumId="35" w15:restartNumberingAfterBreak="0">
    <w:nsid w:val="6A615380"/>
    <w:multiLevelType w:val="multilevel"/>
    <w:tmpl w:val="5CC67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A631D22"/>
    <w:multiLevelType w:val="multilevel"/>
    <w:tmpl w:val="99FCC3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15:restartNumberingAfterBreak="0">
    <w:nsid w:val="6FA73227"/>
    <w:multiLevelType w:val="hybridMultilevel"/>
    <w:tmpl w:val="9B7C9314"/>
    <w:lvl w:ilvl="0" w:tplc="1A78B21E">
      <w:start w:val="1"/>
      <w:numFmt w:val="bullet"/>
      <w:pStyle w:val="textemininorme"/>
      <w:lvlText w:val=""/>
      <w:lvlJc w:val="left"/>
      <w:pPr>
        <w:ind w:left="1080" w:hanging="360"/>
      </w:pPr>
      <w:rPr>
        <w:rFonts w:ascii="Wingdings" w:hAnsi="Wingdings" w:hint="default"/>
        <w:sz w:val="2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8" w15:restartNumberingAfterBreak="0">
    <w:nsid w:val="706649CC"/>
    <w:multiLevelType w:val="multilevel"/>
    <w:tmpl w:val="9C34E4AE"/>
    <w:lvl w:ilvl="0">
      <w:start w:val="1"/>
      <w:numFmt w:val="bullet"/>
      <w:lvlText w:val=""/>
      <w:lvlJc w:val="left"/>
      <w:pPr>
        <w:ind w:left="1440" w:firstLine="1080"/>
      </w:pPr>
      <w:rPr>
        <w:rFonts w:ascii="Wingdings" w:hAnsi="Wingdings"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15:restartNumberingAfterBreak="0">
    <w:nsid w:val="70874CCB"/>
    <w:multiLevelType w:val="multilevel"/>
    <w:tmpl w:val="68E81E56"/>
    <w:lvl w:ilvl="0">
      <w:start w:val="1"/>
      <w:numFmt w:val="bullet"/>
      <w:lvlText w:val=""/>
      <w:lvlJc w:val="left"/>
      <w:pPr>
        <w:ind w:left="720" w:firstLine="1080"/>
      </w:pPr>
      <w:rPr>
        <w:rFonts w:ascii="Wingdings" w:hAnsi="Wingdings" w:hint="default"/>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0" w15:restartNumberingAfterBreak="0">
    <w:nsid w:val="71AE7D65"/>
    <w:multiLevelType w:val="multilevel"/>
    <w:tmpl w:val="76A046CC"/>
    <w:lvl w:ilvl="0">
      <w:start w:val="1"/>
      <w:numFmt w:val="bullet"/>
      <w:lvlText w:val=""/>
      <w:lvlJc w:val="left"/>
      <w:pPr>
        <w:ind w:left="3600" w:firstLine="3240"/>
      </w:pPr>
      <w:rPr>
        <w:rFonts w:ascii="Wingdings" w:hAnsi="Wingdings" w:hint="default"/>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41" w15:restartNumberingAfterBreak="0">
    <w:nsid w:val="7FC90C4D"/>
    <w:multiLevelType w:val="hybridMultilevel"/>
    <w:tmpl w:val="E39A1D4C"/>
    <w:lvl w:ilvl="0" w:tplc="86481896">
      <w:start w:val="1"/>
      <w:numFmt w:val="bullet"/>
      <w:pStyle w:val="textenorme"/>
      <w:lvlText w:val=""/>
      <w:lvlJc w:val="left"/>
      <w:pPr>
        <w:ind w:left="720" w:hanging="360"/>
      </w:pPr>
      <w:rPr>
        <w:rFonts w:ascii="Wingdings" w:hAnsi="Wingdings" w:hint="default"/>
        <w:sz w:val="2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21"/>
  </w:num>
  <w:num w:numId="4">
    <w:abstractNumId w:val="14"/>
  </w:num>
  <w:num w:numId="5">
    <w:abstractNumId w:val="22"/>
  </w:num>
  <w:num w:numId="6">
    <w:abstractNumId w:val="12"/>
  </w:num>
  <w:num w:numId="7">
    <w:abstractNumId w:val="15"/>
  </w:num>
  <w:num w:numId="8">
    <w:abstractNumId w:val="10"/>
  </w:num>
  <w:num w:numId="9">
    <w:abstractNumId w:val="35"/>
  </w:num>
  <w:num w:numId="10">
    <w:abstractNumId w:val="17"/>
  </w:num>
  <w:num w:numId="11">
    <w:abstractNumId w:val="2"/>
  </w:num>
  <w:num w:numId="12">
    <w:abstractNumId w:val="1"/>
  </w:num>
  <w:num w:numId="13">
    <w:abstractNumId w:val="36"/>
  </w:num>
  <w:num w:numId="14">
    <w:abstractNumId w:val="30"/>
  </w:num>
  <w:num w:numId="15">
    <w:abstractNumId w:val="40"/>
  </w:num>
  <w:num w:numId="16">
    <w:abstractNumId w:val="18"/>
  </w:num>
  <w:num w:numId="17">
    <w:abstractNumId w:val="9"/>
  </w:num>
  <w:num w:numId="18">
    <w:abstractNumId w:val="27"/>
  </w:num>
  <w:num w:numId="19">
    <w:abstractNumId w:val="25"/>
  </w:num>
  <w:num w:numId="20">
    <w:abstractNumId w:val="28"/>
  </w:num>
  <w:num w:numId="21">
    <w:abstractNumId w:val="38"/>
  </w:num>
  <w:num w:numId="22">
    <w:abstractNumId w:val="3"/>
  </w:num>
  <w:num w:numId="23">
    <w:abstractNumId w:val="20"/>
  </w:num>
  <w:num w:numId="24">
    <w:abstractNumId w:val="0"/>
  </w:num>
  <w:num w:numId="25">
    <w:abstractNumId w:val="13"/>
  </w:num>
  <w:num w:numId="26">
    <w:abstractNumId w:val="11"/>
  </w:num>
  <w:num w:numId="27">
    <w:abstractNumId w:val="4"/>
  </w:num>
  <w:num w:numId="28">
    <w:abstractNumId w:val="26"/>
  </w:num>
  <w:num w:numId="29">
    <w:abstractNumId w:val="7"/>
  </w:num>
  <w:num w:numId="30">
    <w:abstractNumId w:val="19"/>
  </w:num>
  <w:num w:numId="31">
    <w:abstractNumId w:val="8"/>
  </w:num>
  <w:num w:numId="32">
    <w:abstractNumId w:val="16"/>
  </w:num>
  <w:num w:numId="33">
    <w:abstractNumId w:val="24"/>
  </w:num>
  <w:num w:numId="34">
    <w:abstractNumId w:val="31"/>
  </w:num>
  <w:num w:numId="35">
    <w:abstractNumId w:val="29"/>
  </w:num>
  <w:num w:numId="36">
    <w:abstractNumId w:val="39"/>
  </w:num>
  <w:num w:numId="37">
    <w:abstractNumId w:val="6"/>
  </w:num>
  <w:num w:numId="38">
    <w:abstractNumId w:val="34"/>
  </w:num>
  <w:num w:numId="39">
    <w:abstractNumId w:val="5"/>
  </w:num>
  <w:num w:numId="40">
    <w:abstractNumId w:val="41"/>
  </w:num>
  <w:num w:numId="41">
    <w:abstractNumId w:val="41"/>
  </w:num>
  <w:num w:numId="42">
    <w:abstractNumId w:val="41"/>
  </w:num>
  <w:num w:numId="43">
    <w:abstractNumId w:val="41"/>
  </w:num>
  <w:num w:numId="44">
    <w:abstractNumId w:val="37"/>
  </w:num>
  <w:num w:numId="45">
    <w:abstractNumId w:val="41"/>
  </w:num>
  <w:num w:numId="46">
    <w:abstractNumId w:val="41"/>
  </w:num>
  <w:num w:numId="47">
    <w:abstractNumId w:val="32"/>
  </w:num>
  <w:num w:numId="48">
    <w:abstractNumId w:val="41"/>
  </w:num>
  <w:num w:numId="49">
    <w:abstractNumId w:val="4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23"/>
    <w:rsid w:val="0006136E"/>
    <w:rsid w:val="00074189"/>
    <w:rsid w:val="00080F2E"/>
    <w:rsid w:val="00081DD1"/>
    <w:rsid w:val="000903C7"/>
    <w:rsid w:val="00093E6E"/>
    <w:rsid w:val="000C39CC"/>
    <w:rsid w:val="001204DC"/>
    <w:rsid w:val="0013144C"/>
    <w:rsid w:val="00135553"/>
    <w:rsid w:val="00142418"/>
    <w:rsid w:val="00160937"/>
    <w:rsid w:val="00183A68"/>
    <w:rsid w:val="001B44B2"/>
    <w:rsid w:val="001E0675"/>
    <w:rsid w:val="0021527D"/>
    <w:rsid w:val="00224E64"/>
    <w:rsid w:val="00242456"/>
    <w:rsid w:val="002A2EC6"/>
    <w:rsid w:val="002B1A77"/>
    <w:rsid w:val="002D5E16"/>
    <w:rsid w:val="002E517C"/>
    <w:rsid w:val="0033227E"/>
    <w:rsid w:val="00350FF9"/>
    <w:rsid w:val="00362DF9"/>
    <w:rsid w:val="003715B6"/>
    <w:rsid w:val="00381604"/>
    <w:rsid w:val="003B2366"/>
    <w:rsid w:val="003C2BC9"/>
    <w:rsid w:val="003F492F"/>
    <w:rsid w:val="003F71FD"/>
    <w:rsid w:val="00407F74"/>
    <w:rsid w:val="00413D30"/>
    <w:rsid w:val="0042441E"/>
    <w:rsid w:val="0048145D"/>
    <w:rsid w:val="00492362"/>
    <w:rsid w:val="004D1D6E"/>
    <w:rsid w:val="004F6A24"/>
    <w:rsid w:val="00500E1B"/>
    <w:rsid w:val="00502C5B"/>
    <w:rsid w:val="00510DCA"/>
    <w:rsid w:val="00555220"/>
    <w:rsid w:val="00594639"/>
    <w:rsid w:val="00597908"/>
    <w:rsid w:val="005B5A79"/>
    <w:rsid w:val="005E15C0"/>
    <w:rsid w:val="005F4542"/>
    <w:rsid w:val="00612ED2"/>
    <w:rsid w:val="0062641A"/>
    <w:rsid w:val="00635B28"/>
    <w:rsid w:val="00656412"/>
    <w:rsid w:val="0068042D"/>
    <w:rsid w:val="00681AF2"/>
    <w:rsid w:val="006A0025"/>
    <w:rsid w:val="00722807"/>
    <w:rsid w:val="00727406"/>
    <w:rsid w:val="007465D1"/>
    <w:rsid w:val="007811A2"/>
    <w:rsid w:val="00796341"/>
    <w:rsid w:val="007F5F2C"/>
    <w:rsid w:val="008423E2"/>
    <w:rsid w:val="00871D12"/>
    <w:rsid w:val="008756E5"/>
    <w:rsid w:val="00887A5E"/>
    <w:rsid w:val="008A0520"/>
    <w:rsid w:val="008D6BCF"/>
    <w:rsid w:val="008E5EB3"/>
    <w:rsid w:val="008F76AF"/>
    <w:rsid w:val="00904EF9"/>
    <w:rsid w:val="00907468"/>
    <w:rsid w:val="0091125C"/>
    <w:rsid w:val="00946FF8"/>
    <w:rsid w:val="009661C0"/>
    <w:rsid w:val="00980107"/>
    <w:rsid w:val="009A5786"/>
    <w:rsid w:val="009B2D4E"/>
    <w:rsid w:val="009D41AF"/>
    <w:rsid w:val="009E0A19"/>
    <w:rsid w:val="00A00DED"/>
    <w:rsid w:val="00A15F70"/>
    <w:rsid w:val="00A364E5"/>
    <w:rsid w:val="00A77E40"/>
    <w:rsid w:val="00AC3F02"/>
    <w:rsid w:val="00AF7006"/>
    <w:rsid w:val="00B0405E"/>
    <w:rsid w:val="00B27B7B"/>
    <w:rsid w:val="00B30E09"/>
    <w:rsid w:val="00B50620"/>
    <w:rsid w:val="00B51FC8"/>
    <w:rsid w:val="00B577F0"/>
    <w:rsid w:val="00B60E47"/>
    <w:rsid w:val="00B7578C"/>
    <w:rsid w:val="00BC5996"/>
    <w:rsid w:val="00BE3A93"/>
    <w:rsid w:val="00BF44F0"/>
    <w:rsid w:val="00C16344"/>
    <w:rsid w:val="00C3454A"/>
    <w:rsid w:val="00C73913"/>
    <w:rsid w:val="00C7622B"/>
    <w:rsid w:val="00CA100E"/>
    <w:rsid w:val="00CA2267"/>
    <w:rsid w:val="00CA546E"/>
    <w:rsid w:val="00CC30F4"/>
    <w:rsid w:val="00CE20CD"/>
    <w:rsid w:val="00CF23EB"/>
    <w:rsid w:val="00CF3470"/>
    <w:rsid w:val="00D07799"/>
    <w:rsid w:val="00D25B0C"/>
    <w:rsid w:val="00D63FA1"/>
    <w:rsid w:val="00DB460E"/>
    <w:rsid w:val="00DD167E"/>
    <w:rsid w:val="00DD364D"/>
    <w:rsid w:val="00E32265"/>
    <w:rsid w:val="00E43A63"/>
    <w:rsid w:val="00E621A1"/>
    <w:rsid w:val="00E628E9"/>
    <w:rsid w:val="00E80A22"/>
    <w:rsid w:val="00EA2FB5"/>
    <w:rsid w:val="00ED2A56"/>
    <w:rsid w:val="00F10AFF"/>
    <w:rsid w:val="00F656CF"/>
    <w:rsid w:val="00F7115A"/>
    <w:rsid w:val="00FA732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CE8E5"/>
  <w15:docId w15:val="{6362477D-6D7B-4FAF-9DFB-776FED57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fr-CA" w:eastAsia="fr-CA" w:bidi="ar-SA"/>
      </w:rPr>
    </w:rPrDefault>
    <w:pPrDefaul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contextualSpacing/>
      <w:outlineLvl w:val="0"/>
    </w:pPr>
    <w:rPr>
      <w:b/>
      <w:sz w:val="36"/>
      <w:szCs w:val="36"/>
    </w:rPr>
  </w:style>
  <w:style w:type="paragraph" w:styleId="Titre2">
    <w:name w:val="heading 2"/>
    <w:basedOn w:val="Normal"/>
    <w:next w:val="Normal"/>
    <w:pPr>
      <w:keepNext/>
      <w:keepLines/>
      <w:tabs>
        <w:tab w:val="clear" w:pos="1134"/>
        <w:tab w:val="left" w:pos="1129"/>
      </w:tabs>
      <w:contextualSpacing/>
      <w:outlineLvl w:val="1"/>
    </w:pPr>
    <w:rPr>
      <w:b/>
    </w:rPr>
  </w:style>
  <w:style w:type="paragraph" w:styleId="Titre3">
    <w:name w:val="heading 3"/>
    <w:basedOn w:val="Normal"/>
    <w:next w:val="Normal"/>
    <w:pPr>
      <w:keepNext/>
      <w:keepLines/>
      <w:tabs>
        <w:tab w:val="left" w:pos="559"/>
      </w:tabs>
      <w:ind w:firstLine="720"/>
      <w:contextualSpacing/>
      <w:outlineLvl w:val="2"/>
    </w:pPr>
    <w:rPr>
      <w:b/>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contextualSpacing/>
    </w:pPr>
    <w:rPr>
      <w:b/>
      <w:sz w:val="36"/>
      <w:szCs w:val="36"/>
    </w:rPr>
  </w:style>
  <w:style w:type="paragraph" w:styleId="Sous-titre">
    <w:name w:val="Subtitle"/>
    <w:basedOn w:val="Normal"/>
    <w:next w:val="Normal"/>
    <w:link w:val="Sous-titreCar"/>
    <w:uiPriority w:val="11"/>
    <w:qFormat/>
    <w:pPr>
      <w:keepNext/>
      <w:keepLines/>
      <w:tabs>
        <w:tab w:val="clear" w:pos="1134"/>
        <w:tab w:val="left" w:pos="1129"/>
      </w:tabs>
      <w:contextualSpacing/>
    </w:pPr>
    <w:rPr>
      <w:b/>
    </w:rPr>
  </w:style>
  <w:style w:type="paragraph" w:styleId="TM1">
    <w:name w:val="toc 1"/>
    <w:basedOn w:val="Normal"/>
    <w:next w:val="Normal"/>
    <w:autoRedefine/>
    <w:uiPriority w:val="39"/>
    <w:unhideWhenUsed/>
    <w:rsid w:val="008A052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pPr>
  </w:style>
  <w:style w:type="paragraph" w:styleId="TM2">
    <w:name w:val="toc 2"/>
    <w:basedOn w:val="Normal"/>
    <w:next w:val="Normal"/>
    <w:autoRedefine/>
    <w:uiPriority w:val="39"/>
    <w:unhideWhenUsed/>
    <w:rsid w:val="00502C5B"/>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8630"/>
      </w:tabs>
      <w:spacing w:after="100"/>
      <w:ind w:left="567"/>
    </w:pPr>
  </w:style>
  <w:style w:type="paragraph" w:styleId="TM3">
    <w:name w:val="toc 3"/>
    <w:basedOn w:val="Normal"/>
    <w:next w:val="Normal"/>
    <w:autoRedefine/>
    <w:uiPriority w:val="39"/>
    <w:unhideWhenUsed/>
    <w:rsid w:val="00502C5B"/>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8630"/>
      </w:tabs>
      <w:spacing w:after="100"/>
      <w:ind w:left="1134"/>
    </w:pPr>
    <w:rPr>
      <w:rFonts w:ascii="Palatino Linotype" w:hAnsi="Palatino Linotype"/>
      <w:noProof/>
      <w:sz w:val="22"/>
    </w:rPr>
  </w:style>
  <w:style w:type="character" w:styleId="Lienhypertexte">
    <w:name w:val="Hyperlink"/>
    <w:basedOn w:val="Policepardfaut"/>
    <w:uiPriority w:val="99"/>
    <w:unhideWhenUsed/>
    <w:rsid w:val="008A0520"/>
    <w:rPr>
      <w:color w:val="0563C1" w:themeColor="hyperlink"/>
      <w:u w:val="single"/>
    </w:rPr>
  </w:style>
  <w:style w:type="paragraph" w:styleId="Paragraphedeliste">
    <w:name w:val="List Paragraph"/>
    <w:basedOn w:val="Normal"/>
    <w:uiPriority w:val="34"/>
    <w:qFormat/>
    <w:rsid w:val="00381604"/>
    <w:pPr>
      <w:ind w:left="720"/>
      <w:contextualSpacing/>
    </w:pPr>
  </w:style>
  <w:style w:type="paragraph" w:styleId="TM4">
    <w:name w:val="toc 4"/>
    <w:basedOn w:val="Normal"/>
    <w:next w:val="Normal"/>
    <w:autoRedefine/>
    <w:uiPriority w:val="39"/>
    <w:unhideWhenUsed/>
    <w:rsid w:val="00CF3470"/>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line="259" w:lineRule="auto"/>
      <w:ind w:left="660"/>
    </w:pPr>
    <w:rPr>
      <w:rFonts w:asciiTheme="minorHAnsi" w:eastAsiaTheme="minorEastAsia" w:hAnsiTheme="minorHAnsi" w:cstheme="minorBidi"/>
      <w:color w:val="auto"/>
      <w:sz w:val="22"/>
      <w:szCs w:val="22"/>
    </w:rPr>
  </w:style>
  <w:style w:type="paragraph" w:styleId="TM5">
    <w:name w:val="toc 5"/>
    <w:basedOn w:val="Normal"/>
    <w:next w:val="Normal"/>
    <w:autoRedefine/>
    <w:uiPriority w:val="39"/>
    <w:unhideWhenUsed/>
    <w:rsid w:val="00CF3470"/>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line="259" w:lineRule="auto"/>
      <w:ind w:left="880"/>
    </w:pPr>
    <w:rPr>
      <w:rFonts w:asciiTheme="minorHAnsi" w:eastAsiaTheme="minorEastAsia" w:hAnsiTheme="minorHAnsi" w:cstheme="minorBidi"/>
      <w:color w:val="auto"/>
      <w:sz w:val="22"/>
      <w:szCs w:val="22"/>
    </w:rPr>
  </w:style>
  <w:style w:type="paragraph" w:styleId="TM6">
    <w:name w:val="toc 6"/>
    <w:basedOn w:val="Normal"/>
    <w:next w:val="Normal"/>
    <w:autoRedefine/>
    <w:uiPriority w:val="39"/>
    <w:unhideWhenUsed/>
    <w:rsid w:val="00CF3470"/>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line="259" w:lineRule="auto"/>
      <w:ind w:left="1100"/>
    </w:pPr>
    <w:rPr>
      <w:rFonts w:asciiTheme="minorHAnsi" w:eastAsiaTheme="minorEastAsia" w:hAnsiTheme="minorHAnsi" w:cstheme="minorBidi"/>
      <w:color w:val="auto"/>
      <w:sz w:val="22"/>
      <w:szCs w:val="22"/>
    </w:rPr>
  </w:style>
  <w:style w:type="paragraph" w:styleId="TM7">
    <w:name w:val="toc 7"/>
    <w:basedOn w:val="Normal"/>
    <w:next w:val="Normal"/>
    <w:autoRedefine/>
    <w:uiPriority w:val="39"/>
    <w:unhideWhenUsed/>
    <w:rsid w:val="00CF3470"/>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line="259" w:lineRule="auto"/>
      <w:ind w:left="1320"/>
    </w:pPr>
    <w:rPr>
      <w:rFonts w:asciiTheme="minorHAnsi" w:eastAsiaTheme="minorEastAsia" w:hAnsiTheme="minorHAnsi" w:cstheme="minorBidi"/>
      <w:color w:val="auto"/>
      <w:sz w:val="22"/>
      <w:szCs w:val="22"/>
    </w:rPr>
  </w:style>
  <w:style w:type="paragraph" w:styleId="TM8">
    <w:name w:val="toc 8"/>
    <w:basedOn w:val="Normal"/>
    <w:next w:val="Normal"/>
    <w:autoRedefine/>
    <w:uiPriority w:val="39"/>
    <w:unhideWhenUsed/>
    <w:rsid w:val="00CF3470"/>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line="259" w:lineRule="auto"/>
      <w:ind w:left="1540"/>
    </w:pPr>
    <w:rPr>
      <w:rFonts w:asciiTheme="minorHAnsi" w:eastAsiaTheme="minorEastAsia" w:hAnsiTheme="minorHAnsi" w:cstheme="minorBidi"/>
      <w:color w:val="auto"/>
      <w:sz w:val="22"/>
      <w:szCs w:val="22"/>
    </w:rPr>
  </w:style>
  <w:style w:type="paragraph" w:styleId="TM9">
    <w:name w:val="toc 9"/>
    <w:basedOn w:val="Normal"/>
    <w:next w:val="Normal"/>
    <w:autoRedefine/>
    <w:uiPriority w:val="39"/>
    <w:unhideWhenUsed/>
    <w:rsid w:val="00CF3470"/>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line="259" w:lineRule="auto"/>
      <w:ind w:left="1760"/>
    </w:pPr>
    <w:rPr>
      <w:rFonts w:asciiTheme="minorHAnsi" w:eastAsiaTheme="minorEastAsia" w:hAnsiTheme="minorHAnsi" w:cstheme="minorBidi"/>
      <w:color w:val="auto"/>
      <w:sz w:val="22"/>
      <w:szCs w:val="22"/>
    </w:rPr>
  </w:style>
  <w:style w:type="paragraph" w:styleId="Textedebulles">
    <w:name w:val="Balloon Text"/>
    <w:basedOn w:val="Normal"/>
    <w:link w:val="TextedebullesCar"/>
    <w:uiPriority w:val="99"/>
    <w:semiHidden/>
    <w:unhideWhenUsed/>
    <w:rsid w:val="003715B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15B6"/>
    <w:rPr>
      <w:rFonts w:ascii="Lucida Grande" w:hAnsi="Lucida Grande" w:cs="Lucida Grande"/>
      <w:sz w:val="18"/>
      <w:szCs w:val="18"/>
    </w:rPr>
  </w:style>
  <w:style w:type="paragraph" w:styleId="En-tte">
    <w:name w:val="header"/>
    <w:basedOn w:val="Normal"/>
    <w:link w:val="En-tteCar"/>
    <w:uiPriority w:val="99"/>
    <w:unhideWhenUsed/>
    <w:rsid w:val="00887A5E"/>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8640"/>
      </w:tabs>
    </w:pPr>
  </w:style>
  <w:style w:type="character" w:customStyle="1" w:styleId="En-tteCar">
    <w:name w:val="En-tête Car"/>
    <w:basedOn w:val="Policepardfaut"/>
    <w:link w:val="En-tte"/>
    <w:uiPriority w:val="99"/>
    <w:rsid w:val="00887A5E"/>
  </w:style>
  <w:style w:type="paragraph" w:styleId="Pieddepage">
    <w:name w:val="footer"/>
    <w:basedOn w:val="Normal"/>
    <w:link w:val="PieddepageCar"/>
    <w:uiPriority w:val="99"/>
    <w:unhideWhenUsed/>
    <w:rsid w:val="00887A5E"/>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8640"/>
      </w:tabs>
    </w:pPr>
  </w:style>
  <w:style w:type="character" w:customStyle="1" w:styleId="PieddepageCar">
    <w:name w:val="Pied de page Car"/>
    <w:basedOn w:val="Policepardfaut"/>
    <w:link w:val="Pieddepage"/>
    <w:uiPriority w:val="99"/>
    <w:rsid w:val="00887A5E"/>
  </w:style>
  <w:style w:type="paragraph" w:customStyle="1" w:styleId="titrenorme">
    <w:name w:val="titre norme"/>
    <w:basedOn w:val="Normal"/>
    <w:link w:val="titrenormeCar"/>
    <w:qFormat/>
    <w:rsid w:val="0068042D"/>
    <w:pPr>
      <w:widowControl/>
      <w:numPr>
        <w:numId w:val="39"/>
      </w:numPr>
      <w:autoSpaceDE w:val="0"/>
      <w:autoSpaceDN w:val="0"/>
      <w:adjustRightInd w:val="0"/>
      <w:ind w:left="0" w:hanging="567"/>
      <w:contextualSpacing/>
      <w:jc w:val="both"/>
      <w:outlineLvl w:val="0"/>
    </w:pPr>
    <w:rPr>
      <w:rFonts w:ascii="Palatino" w:eastAsiaTheme="minorHAnsi" w:hAnsi="Palatino"/>
      <w:b/>
      <w:color w:val="000000" w:themeColor="text1"/>
      <w:sz w:val="28"/>
      <w:lang w:val="en-CA" w:eastAsia="en-US"/>
    </w:rPr>
  </w:style>
  <w:style w:type="character" w:customStyle="1" w:styleId="titrenormeCar">
    <w:name w:val="titre norme Car"/>
    <w:basedOn w:val="Policepardfaut"/>
    <w:link w:val="titrenorme"/>
    <w:rsid w:val="0068042D"/>
    <w:rPr>
      <w:rFonts w:ascii="Palatino" w:eastAsiaTheme="minorHAnsi" w:hAnsi="Palatino"/>
      <w:b/>
      <w:color w:val="000000" w:themeColor="text1"/>
      <w:sz w:val="28"/>
      <w:lang w:val="en-CA" w:eastAsia="en-US"/>
    </w:rPr>
  </w:style>
  <w:style w:type="paragraph" w:customStyle="1" w:styleId="introduction">
    <w:name w:val="introduction"/>
    <w:basedOn w:val="Normal"/>
    <w:link w:val="introductionCar"/>
    <w:qFormat/>
    <w:rsid w:val="0068042D"/>
    <w:pPr>
      <w:widowControl/>
      <w:autoSpaceDE w:val="0"/>
      <w:autoSpaceDN w:val="0"/>
      <w:adjustRightInd w:val="0"/>
      <w:jc w:val="both"/>
    </w:pPr>
    <w:rPr>
      <w:rFonts w:ascii="Palatino" w:eastAsia="Calibri" w:hAnsi="Palatino"/>
      <w:sz w:val="20"/>
      <w:szCs w:val="32"/>
      <w:lang w:val="en-CA" w:eastAsia="en-US"/>
    </w:rPr>
  </w:style>
  <w:style w:type="character" w:customStyle="1" w:styleId="introductionCar">
    <w:name w:val="introduction Car"/>
    <w:basedOn w:val="Policepardfaut"/>
    <w:link w:val="introduction"/>
    <w:rsid w:val="0068042D"/>
    <w:rPr>
      <w:rFonts w:ascii="Palatino" w:eastAsia="Calibri" w:hAnsi="Palatino"/>
      <w:sz w:val="20"/>
      <w:szCs w:val="32"/>
      <w:lang w:val="en-CA" w:eastAsia="en-US"/>
    </w:rPr>
  </w:style>
  <w:style w:type="paragraph" w:customStyle="1" w:styleId="exemplenorme">
    <w:name w:val="exemple norme"/>
    <w:basedOn w:val="Normal"/>
    <w:link w:val="exemplenormeCar"/>
    <w:qFormat/>
    <w:rsid w:val="0048145D"/>
    <w:pPr>
      <w:widowControl/>
      <w:autoSpaceDE w:val="0"/>
      <w:autoSpaceDN w:val="0"/>
      <w:adjustRightInd w:val="0"/>
      <w:ind w:left="360"/>
      <w:contextualSpacing/>
      <w:jc w:val="both"/>
    </w:pPr>
    <w:rPr>
      <w:rFonts w:ascii="Palatino Linotype" w:eastAsiaTheme="minorHAnsi" w:hAnsi="Palatino Linotype"/>
      <w:i/>
      <w:sz w:val="20"/>
      <w:lang w:val="en-US" w:eastAsia="en-US"/>
    </w:rPr>
  </w:style>
  <w:style w:type="character" w:customStyle="1" w:styleId="exemplenormeCar">
    <w:name w:val="exemple norme Car"/>
    <w:basedOn w:val="Policepardfaut"/>
    <w:link w:val="exemplenorme"/>
    <w:rsid w:val="0048145D"/>
    <w:rPr>
      <w:rFonts w:ascii="Palatino Linotype" w:eastAsiaTheme="minorHAnsi" w:hAnsi="Palatino Linotype"/>
      <w:i/>
      <w:sz w:val="20"/>
      <w:lang w:val="en-US" w:eastAsia="en-US"/>
    </w:rPr>
  </w:style>
  <w:style w:type="paragraph" w:customStyle="1" w:styleId="textenorme">
    <w:name w:val="texte norme"/>
    <w:basedOn w:val="Normal"/>
    <w:link w:val="textenormeCar"/>
    <w:qFormat/>
    <w:rsid w:val="0048145D"/>
    <w:pPr>
      <w:widowControl/>
      <w:numPr>
        <w:numId w:val="40"/>
      </w:numPr>
      <w:tabs>
        <w:tab w:val="left" w:pos="0"/>
      </w:tabs>
      <w:autoSpaceDE w:val="0"/>
      <w:autoSpaceDN w:val="0"/>
      <w:adjustRightInd w:val="0"/>
      <w:contextualSpacing/>
      <w:jc w:val="both"/>
    </w:pPr>
    <w:rPr>
      <w:rFonts w:ascii="Palatino Linotype" w:eastAsiaTheme="minorHAnsi" w:hAnsi="Palatino Linotype"/>
      <w:color w:val="000000" w:themeColor="text1"/>
      <w:sz w:val="20"/>
      <w:lang w:val="en-US" w:eastAsia="en-US"/>
    </w:rPr>
  </w:style>
  <w:style w:type="character" w:customStyle="1" w:styleId="textenormeCar">
    <w:name w:val="texte norme Car"/>
    <w:basedOn w:val="Policepardfaut"/>
    <w:link w:val="textenorme"/>
    <w:rsid w:val="0048145D"/>
    <w:rPr>
      <w:rFonts w:ascii="Palatino Linotype" w:eastAsiaTheme="minorHAnsi" w:hAnsi="Palatino Linotype"/>
      <w:color w:val="000000" w:themeColor="text1"/>
      <w:sz w:val="20"/>
      <w:lang w:val="en-US" w:eastAsia="en-US"/>
    </w:rPr>
  </w:style>
  <w:style w:type="paragraph" w:customStyle="1" w:styleId="titresousnormedites">
    <w:name w:val="titre sous norme dites"/>
    <w:basedOn w:val="Normal"/>
    <w:link w:val="titresousnormeditesCar"/>
    <w:autoRedefine/>
    <w:qFormat/>
    <w:rsid w:val="008D6BCF"/>
    <w:pPr>
      <w:widowControl/>
      <w:autoSpaceDE w:val="0"/>
      <w:autoSpaceDN w:val="0"/>
      <w:adjustRightInd w:val="0"/>
      <w:contextualSpacing/>
      <w:jc w:val="both"/>
      <w:outlineLvl w:val="1"/>
    </w:pPr>
    <w:rPr>
      <w:rFonts w:ascii="Palatino" w:eastAsiaTheme="minorHAnsi" w:hAnsi="Palatino"/>
      <w:b/>
      <w:sz w:val="22"/>
      <w:szCs w:val="20"/>
      <w:lang w:val="en-CA" w:eastAsia="en-US"/>
    </w:rPr>
  </w:style>
  <w:style w:type="character" w:customStyle="1" w:styleId="titresousnormeditesCar">
    <w:name w:val="titre sous norme dites Car"/>
    <w:basedOn w:val="Policepardfaut"/>
    <w:link w:val="titresousnormedites"/>
    <w:rsid w:val="008D6BCF"/>
    <w:rPr>
      <w:rFonts w:ascii="Palatino" w:eastAsiaTheme="minorHAnsi" w:hAnsi="Palatino"/>
      <w:b/>
      <w:sz w:val="22"/>
      <w:szCs w:val="20"/>
      <w:lang w:val="en-CA" w:eastAsia="en-US"/>
    </w:rPr>
  </w:style>
  <w:style w:type="character" w:customStyle="1" w:styleId="Sous-titreCar">
    <w:name w:val="Sous-titre Car"/>
    <w:basedOn w:val="Policepardfaut"/>
    <w:link w:val="Sous-titre"/>
    <w:uiPriority w:val="11"/>
    <w:rsid w:val="008D6BCF"/>
    <w:rPr>
      <w:b/>
    </w:rPr>
  </w:style>
  <w:style w:type="paragraph" w:customStyle="1" w:styleId="titresoussousnormedites">
    <w:name w:val="titre sous sous norme dites"/>
    <w:basedOn w:val="Normal"/>
    <w:link w:val="titresoussousnormeditesCar"/>
    <w:qFormat/>
    <w:rsid w:val="00074189"/>
    <w:pPr>
      <w:keepNext/>
      <w:keepLines/>
      <w:tabs>
        <w:tab w:val="left" w:pos="559"/>
      </w:tabs>
      <w:outlineLvl w:val="2"/>
    </w:pPr>
    <w:rPr>
      <w:rFonts w:ascii="Palatino Linotype" w:hAnsi="Palatino Linotype"/>
      <w:b/>
      <w:sz w:val="20"/>
      <w:lang w:val="en-CA"/>
    </w:rPr>
  </w:style>
  <w:style w:type="character" w:customStyle="1" w:styleId="titresoussousnormeditesCar">
    <w:name w:val="titre sous sous norme dites Car"/>
    <w:basedOn w:val="Policepardfaut"/>
    <w:link w:val="titresoussousnormedites"/>
    <w:rsid w:val="00074189"/>
    <w:rPr>
      <w:rFonts w:ascii="Palatino Linotype" w:hAnsi="Palatino Linotype"/>
      <w:b/>
      <w:sz w:val="20"/>
      <w:lang w:val="en-CA"/>
    </w:rPr>
  </w:style>
  <w:style w:type="paragraph" w:customStyle="1" w:styleId="textemininorme">
    <w:name w:val="texte mini norme"/>
    <w:basedOn w:val="Normal"/>
    <w:next w:val="Normal"/>
    <w:link w:val="textemininormeCar"/>
    <w:qFormat/>
    <w:rsid w:val="002D5E16"/>
    <w:pPr>
      <w:numPr>
        <w:numId w:val="4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val="0"/>
      <w:autoSpaceDN w:val="0"/>
      <w:adjustRightInd w:val="0"/>
      <w:ind w:left="924" w:hanging="357"/>
      <w:jc w:val="both"/>
    </w:pPr>
    <w:rPr>
      <w:rFonts w:ascii="Palatino Linotype" w:eastAsiaTheme="minorHAnsi" w:hAnsi="Palatino Linotype" w:cs="Arial"/>
      <w:color w:val="auto"/>
      <w:sz w:val="20"/>
      <w:lang w:val="en-CA" w:eastAsia="en-US"/>
    </w:rPr>
  </w:style>
  <w:style w:type="character" w:customStyle="1" w:styleId="textemininormeCar">
    <w:name w:val="texte mini norme Car"/>
    <w:basedOn w:val="Policepardfaut"/>
    <w:link w:val="textemininorme"/>
    <w:rsid w:val="002D5E16"/>
    <w:rPr>
      <w:rFonts w:ascii="Palatino Linotype" w:eastAsiaTheme="minorHAnsi" w:hAnsi="Palatino Linotype" w:cs="Arial"/>
      <w:color w:val="auto"/>
      <w:sz w:val="20"/>
      <w:lang w:val="en-CA" w:eastAsia="en-US"/>
    </w:rPr>
  </w:style>
  <w:style w:type="paragraph" w:customStyle="1" w:styleId="minimormedites">
    <w:name w:val="mini morme dites"/>
    <w:basedOn w:val="titresoussousnormedites"/>
    <w:link w:val="minimormeditesCar"/>
    <w:qFormat/>
    <w:rsid w:val="002D5E16"/>
    <w:pPr>
      <w:ind w:left="561"/>
      <w:outlineLvl w:val="3"/>
    </w:pPr>
  </w:style>
  <w:style w:type="character" w:customStyle="1" w:styleId="minimormeditesCar">
    <w:name w:val="mini morme dites Car"/>
    <w:basedOn w:val="titresoussousnormeditesCar"/>
    <w:link w:val="minimormedites"/>
    <w:rsid w:val="002D5E16"/>
    <w:rPr>
      <w:rFonts w:ascii="Palatino Linotype" w:hAnsi="Palatino Linotype"/>
      <w:b/>
      <w:sz w:val="20"/>
      <w:lang w:val="en-CA"/>
    </w:rPr>
  </w:style>
  <w:style w:type="paragraph" w:styleId="Sansinterligne">
    <w:name w:val="No Spacing"/>
    <w:aliases w:val="exemple mn"/>
    <w:basedOn w:val="Normal"/>
    <w:uiPriority w:val="1"/>
    <w:qFormat/>
    <w:rsid w:val="002D5E16"/>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567"/>
      </w:tabs>
      <w:autoSpaceDE w:val="0"/>
      <w:autoSpaceDN w:val="0"/>
      <w:adjustRightInd w:val="0"/>
      <w:ind w:left="907"/>
      <w:jc w:val="both"/>
    </w:pPr>
    <w:rPr>
      <w:rFonts w:ascii="Palatino Linotype" w:eastAsiaTheme="minorHAnsi" w:hAnsi="Palatino Linotype" w:cs="Arial"/>
      <w:i/>
      <w:color w:val="auto"/>
      <w:sz w:val="20"/>
      <w:lang w:eastAsia="en-US"/>
    </w:rPr>
  </w:style>
  <w:style w:type="paragraph" w:customStyle="1" w:styleId="Titrenorme0">
    <w:name w:val="Titre norme"/>
    <w:basedOn w:val="titrenorme"/>
    <w:link w:val="TitrenormeCar0"/>
    <w:qFormat/>
    <w:rsid w:val="00CF23EB"/>
    <w:pPr>
      <w:numPr>
        <w:numId w:val="0"/>
      </w:numPr>
    </w:pPr>
  </w:style>
  <w:style w:type="character" w:customStyle="1" w:styleId="TitrenormeCar0">
    <w:name w:val="Titre norme Car"/>
    <w:basedOn w:val="titrenormeCar"/>
    <w:link w:val="Titrenorme0"/>
    <w:rsid w:val="00CF23EB"/>
    <w:rPr>
      <w:rFonts w:ascii="Palatino" w:eastAsiaTheme="minorHAnsi" w:hAnsi="Palatino"/>
      <w:b/>
      <w:color w:val="000000" w:themeColor="text1"/>
      <w:sz w:val="28"/>
      <w:lang w:val="en-CA" w:eastAsia="en-US"/>
    </w:rPr>
  </w:style>
  <w:style w:type="paragraph" w:styleId="En-ttedetabledesmatires">
    <w:name w:val="TOC Heading"/>
    <w:basedOn w:val="Titre1"/>
    <w:next w:val="Normal"/>
    <w:uiPriority w:val="39"/>
    <w:unhideWhenUsed/>
    <w:qFormat/>
    <w:rsid w:val="00502C5B"/>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BECB-B3D7-440B-BF4A-9D260305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4873</Words>
  <Characters>26805</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Myriam Rochette</dc:creator>
  <cp:lastModifiedBy>JFM</cp:lastModifiedBy>
  <cp:revision>38</cp:revision>
  <cp:lastPrinted>2017-06-12T18:41:00Z</cp:lastPrinted>
  <dcterms:created xsi:type="dcterms:W3CDTF">2017-06-08T15:41:00Z</dcterms:created>
  <dcterms:modified xsi:type="dcterms:W3CDTF">2019-07-11T21:41:00Z</dcterms:modified>
</cp:coreProperties>
</file>